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28"/>
        </w:rPr>
      </w:pPr>
      <w:r>
        <w:rPr/>
        <w:pict>
          <v:shapetype id="_x0000_t202" o:spt="202" coordsize="21600,21600" path="m,l,21600r21600,l21600,xe">
            <v:stroke joinstyle="miter"/>
            <v:path gradientshapeok="t" o:connecttype="rect"/>
          </v:shapetype>
          <v:shape style="position:absolute;margin-left:517.320007pt;margin-top:793.19458pt;width:6.05pt;height:13.35pt;mso-position-horizontal-relative:page;mso-position-vertical-relative:page;z-index:-252329984" type="#_x0000_t202" filled="false" stroked="false">
            <v:textbox inset="0,0,0,0">
              <w:txbxContent>
                <w:p>
                  <w:pPr>
                    <w:pStyle w:val="BodyText"/>
                    <w:spacing w:before="1"/>
                  </w:pPr>
                  <w:r>
                    <w:rPr>
                      <w:w w:val="100"/>
                    </w:rPr>
                    <w:t>1</w:t>
                  </w:r>
                </w:p>
              </w:txbxContent>
            </v:textbox>
            <w10:wrap type="none"/>
          </v:shape>
        </w:pict>
      </w:r>
      <w:r>
        <w:rPr/>
        <w:pict>
          <v:rect style="position:absolute;margin-left:0pt;margin-top:156.849976pt;width:595.320pt;height:128.9500pt;mso-position-horizontal-relative:page;mso-position-vertical-relative:page;z-index:-252328960" filled="true" fillcolor="#a2d769" stroked="false">
            <v:fill type="solid"/>
            <w10:wrap type="none"/>
          </v:rect>
        </w:pict>
      </w:r>
      <w:r>
        <w:rPr/>
        <w:pict>
          <v:rect style="position:absolute;margin-left:511pt;margin-top:792.990967pt;width:34pt;height:24.5pt;mso-position-horizontal-relative:page;mso-position-vertical-relative:page;z-index:251660288" filled="true" fillcolor="#ffffff" stroked="false">
            <v:fill type="solid"/>
            <w10:wrap type="none"/>
          </v:rect>
        </w:pict>
      </w:r>
    </w:p>
    <w:p>
      <w:pPr>
        <w:pStyle w:val="BodyText"/>
        <w:ind w:left="568"/>
        <w:rPr>
          <w:rFonts w:ascii="Times New Roman"/>
          <w:sz w:val="20"/>
        </w:rPr>
      </w:pPr>
      <w:r>
        <w:rPr>
          <w:rFonts w:ascii="Times New Roman"/>
          <w:sz w:val="20"/>
        </w:rPr>
        <w:drawing>
          <wp:inline distT="0" distB="0" distL="0" distR="0">
            <wp:extent cx="2132598" cy="704469"/>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132598" cy="704469"/>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6"/>
        </w:r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20"/>
      </w:tblGrid>
      <w:tr>
        <w:trPr>
          <w:trHeight w:val="890" w:hRule="atLeast"/>
        </w:trPr>
        <w:tc>
          <w:tcPr>
            <w:tcW w:w="9020" w:type="dxa"/>
          </w:tcPr>
          <w:p>
            <w:pPr>
              <w:pStyle w:val="TableParagraph"/>
              <w:spacing w:line="367" w:lineRule="exact" w:before="0"/>
              <w:ind w:left="115"/>
              <w:rPr>
                <w:rFonts w:ascii="Calibri" w:hAnsi="Calibri"/>
                <w:sz w:val="36"/>
              </w:rPr>
            </w:pPr>
            <w:r>
              <w:rPr>
                <w:rFonts w:ascii="Calibri" w:hAnsi="Calibri"/>
                <w:sz w:val="36"/>
              </w:rPr>
              <w:t>The ‘Sequential Intercept Model’ –</w:t>
            </w:r>
          </w:p>
          <w:p>
            <w:pPr>
              <w:pStyle w:val="TableParagraph"/>
              <w:spacing w:before="0"/>
              <w:ind w:left="115"/>
              <w:rPr>
                <w:rFonts w:ascii="Calibri"/>
                <w:sz w:val="36"/>
              </w:rPr>
            </w:pPr>
            <w:r>
              <w:rPr>
                <w:rFonts w:ascii="Calibri"/>
                <w:sz w:val="36"/>
              </w:rPr>
              <w:t>a trauma-informed diversionary framework</w:t>
            </w:r>
          </w:p>
        </w:tc>
      </w:tr>
      <w:tr>
        <w:trPr>
          <w:trHeight w:val="838" w:hRule="atLeast"/>
        </w:trPr>
        <w:tc>
          <w:tcPr>
            <w:tcW w:w="9020" w:type="dxa"/>
            <w:tcBorders>
              <w:bottom w:val="single" w:sz="4" w:space="0" w:color="A2D769"/>
            </w:tcBorders>
          </w:tcPr>
          <w:p>
            <w:pPr>
              <w:pStyle w:val="TableParagraph"/>
              <w:spacing w:before="35"/>
              <w:ind w:left="115" w:right="95"/>
              <w:rPr>
                <w:rFonts w:ascii="Calibri"/>
                <w:sz w:val="28"/>
              </w:rPr>
            </w:pPr>
            <w:r>
              <w:rPr>
                <w:rFonts w:ascii="Calibri"/>
                <w:sz w:val="28"/>
              </w:rPr>
              <w:t>Dr Suzanne Mooney, Dr Stephen Coulter, Professor Lisa Bunting and Dr Lorna Montgomery</w:t>
            </w:r>
          </w:p>
        </w:tc>
      </w:tr>
      <w:tr>
        <w:trPr>
          <w:trHeight w:val="666" w:hRule="atLeast"/>
        </w:trPr>
        <w:tc>
          <w:tcPr>
            <w:tcW w:w="9020" w:type="dxa"/>
            <w:tcBorders>
              <w:top w:val="single" w:sz="4" w:space="0" w:color="A2D769"/>
            </w:tcBorders>
          </w:tcPr>
          <w:p>
            <w:pPr>
              <w:pStyle w:val="TableParagraph"/>
              <w:spacing w:before="239"/>
              <w:ind w:left="115"/>
              <w:rPr>
                <w:rFonts w:ascii="Calibri"/>
                <w:sz w:val="28"/>
              </w:rPr>
            </w:pPr>
            <w:r>
              <w:rPr>
                <w:rFonts w:ascii="Calibri"/>
                <w:sz w:val="28"/>
              </w:rPr>
              <w:t>HM Inspectorate of Probation</w:t>
            </w:r>
          </w:p>
        </w:tc>
      </w:tr>
      <w:tr>
        <w:trPr>
          <w:trHeight w:val="2784" w:hRule="atLeast"/>
        </w:trPr>
        <w:tc>
          <w:tcPr>
            <w:tcW w:w="9020" w:type="dxa"/>
          </w:tcPr>
          <w:p>
            <w:pPr>
              <w:pStyle w:val="TableParagraph"/>
              <w:spacing w:before="34"/>
              <w:ind w:left="115"/>
              <w:rPr>
                <w:rFonts w:ascii="Calibri"/>
                <w:sz w:val="28"/>
              </w:rPr>
            </w:pPr>
            <w:r>
              <w:rPr>
                <w:rFonts w:ascii="Calibri"/>
                <w:sz w:val="28"/>
              </w:rPr>
              <w:t>Academic Insights 2024/01</w:t>
            </w:r>
          </w:p>
        </w:tc>
      </w:tr>
      <w:tr>
        <w:trPr>
          <w:trHeight w:val="2800" w:hRule="atLeast"/>
        </w:trPr>
        <w:tc>
          <w:tcPr>
            <w:tcW w:w="9020" w:type="dxa"/>
            <w:tcBorders>
              <w:bottom w:val="single" w:sz="4" w:space="0" w:color="A2D769"/>
            </w:tcBorders>
          </w:tcPr>
          <w:p>
            <w:pPr>
              <w:pStyle w:val="TableParagraph"/>
              <w:spacing w:before="0"/>
              <w:rPr>
                <w:rFonts w:ascii="Times New Roman"/>
                <w:sz w:val="26"/>
              </w:rPr>
            </w:pPr>
          </w:p>
          <w:p>
            <w:pPr>
              <w:pStyle w:val="TableParagraph"/>
              <w:spacing w:before="0"/>
              <w:rPr>
                <w:rFonts w:ascii="Times New Roman"/>
                <w:sz w:val="26"/>
              </w:rPr>
            </w:pPr>
          </w:p>
          <w:p>
            <w:pPr>
              <w:pStyle w:val="TableParagraph"/>
              <w:spacing w:before="0"/>
              <w:rPr>
                <w:rFonts w:ascii="Times New Roman"/>
                <w:sz w:val="26"/>
              </w:rPr>
            </w:pPr>
          </w:p>
          <w:p>
            <w:pPr>
              <w:pStyle w:val="TableParagraph"/>
              <w:spacing w:before="0"/>
              <w:rPr>
                <w:rFonts w:ascii="Times New Roman"/>
                <w:sz w:val="26"/>
              </w:rPr>
            </w:pPr>
          </w:p>
          <w:p>
            <w:pPr>
              <w:pStyle w:val="TableParagraph"/>
              <w:spacing w:before="0"/>
              <w:rPr>
                <w:rFonts w:ascii="Times New Roman"/>
                <w:sz w:val="26"/>
              </w:rPr>
            </w:pPr>
          </w:p>
          <w:p>
            <w:pPr>
              <w:pStyle w:val="TableParagraph"/>
              <w:spacing w:before="0"/>
              <w:rPr>
                <w:rFonts w:ascii="Times New Roman"/>
                <w:sz w:val="26"/>
              </w:rPr>
            </w:pPr>
          </w:p>
          <w:p>
            <w:pPr>
              <w:pStyle w:val="TableParagraph"/>
              <w:spacing w:before="0"/>
              <w:rPr>
                <w:rFonts w:ascii="Times New Roman"/>
                <w:sz w:val="26"/>
              </w:rPr>
            </w:pPr>
          </w:p>
          <w:p>
            <w:pPr>
              <w:pStyle w:val="TableParagraph"/>
              <w:spacing w:before="11"/>
              <w:rPr>
                <w:rFonts w:ascii="Times New Roman"/>
                <w:sz w:val="27"/>
              </w:rPr>
            </w:pPr>
          </w:p>
          <w:p>
            <w:pPr>
              <w:pStyle w:val="TableParagraph"/>
              <w:spacing w:before="0"/>
              <w:ind w:left="115"/>
              <w:rPr>
                <w:sz w:val="22"/>
              </w:rPr>
            </w:pPr>
            <w:r>
              <w:rPr>
                <w:sz w:val="22"/>
              </w:rPr>
              <w:t>JANUARY 2024</w:t>
            </w:r>
          </w:p>
        </w:tc>
      </w:tr>
    </w:tbl>
    <w:p>
      <w:pPr>
        <w:spacing w:after="0"/>
        <w:rPr>
          <w:sz w:val="22"/>
        </w:rPr>
        <w:sectPr>
          <w:type w:val="continuous"/>
          <w:pgSz w:w="11910" w:h="16840"/>
          <w:pgMar w:top="1580" w:bottom="280" w:left="1300" w:right="1300"/>
        </w:sectPr>
      </w:pPr>
    </w:p>
    <w:p>
      <w:pPr>
        <w:pStyle w:val="Heading1"/>
        <w:tabs>
          <w:tab w:pos="9195" w:val="left" w:leader="none"/>
        </w:tabs>
        <w:rPr>
          <w:u w:val="none"/>
        </w:rPr>
      </w:pPr>
      <w:bookmarkStart w:name="Contents" w:id="1"/>
      <w:bookmarkEnd w:id="1"/>
      <w:r>
        <w:rPr>
          <w:b w:val="0"/>
          <w:u w:val="none"/>
        </w:rPr>
      </w:r>
      <w:r>
        <w:rPr>
          <w:color w:val="00776F"/>
          <w:u w:val="single" w:color="A6A9AA"/>
        </w:rPr>
        <w:t>Contents</w:t>
        <w:tab/>
      </w:r>
    </w:p>
    <w:p>
      <w:pPr>
        <w:pStyle w:val="BodyText"/>
        <w:rPr>
          <w:b/>
          <w:sz w:val="20"/>
        </w:rPr>
      </w:pPr>
    </w:p>
    <w:p>
      <w:pPr>
        <w:pStyle w:val="BodyText"/>
        <w:spacing w:before="11"/>
        <w:rPr>
          <w:b/>
          <w:sz w:val="23"/>
        </w:rPr>
      </w:pPr>
    </w:p>
    <w:sdt>
      <w:sdtPr>
        <w:docPartObj>
          <w:docPartGallery w:val="Table of Contents"/>
          <w:docPartUnique/>
        </w:docPartObj>
      </w:sdtPr>
      <w:sdtEndPr/>
      <w:sdtContent>
        <w:p>
          <w:pPr>
            <w:pStyle w:val="TOC2"/>
            <w:tabs>
              <w:tab w:pos="9157" w:val="right" w:leader="dot"/>
            </w:tabs>
          </w:pPr>
          <w:hyperlink w:history="true" w:anchor="_bookmark0">
            <w:r>
              <w:rPr/>
              <w:t>Foreword</w:t>
              <w:tab/>
              <w:t>3</w:t>
            </w:r>
          </w:hyperlink>
        </w:p>
        <w:p>
          <w:pPr>
            <w:pStyle w:val="TOC1"/>
            <w:numPr>
              <w:ilvl w:val="0"/>
              <w:numId w:val="1"/>
            </w:numPr>
            <w:tabs>
              <w:tab w:pos="424" w:val="left" w:leader="none"/>
              <w:tab w:pos="9157" w:val="right" w:leader="dot"/>
            </w:tabs>
            <w:spacing w:line="240" w:lineRule="auto" w:before="102" w:after="0"/>
            <w:ind w:left="423" w:right="0" w:hanging="285"/>
            <w:jc w:val="left"/>
          </w:pPr>
          <w:hyperlink w:history="true" w:anchor="_bookmark1">
            <w:r>
              <w:rPr/>
              <w:t>Introduction</w:t>
              <w:tab/>
              <w:t>4</w:t>
            </w:r>
          </w:hyperlink>
        </w:p>
        <w:p>
          <w:pPr>
            <w:pStyle w:val="TOC1"/>
            <w:numPr>
              <w:ilvl w:val="0"/>
              <w:numId w:val="1"/>
            </w:numPr>
            <w:tabs>
              <w:tab w:pos="424" w:val="left" w:leader="none"/>
              <w:tab w:pos="9156" w:val="right" w:leader="dot"/>
            </w:tabs>
            <w:spacing w:line="240" w:lineRule="auto" w:before="99" w:after="0"/>
            <w:ind w:left="423" w:right="0" w:hanging="285"/>
            <w:jc w:val="left"/>
          </w:pPr>
          <w:hyperlink w:history="true" w:anchor="_bookmark4">
            <w:r>
              <w:rPr/>
              <w:t>The Sequential Intercept Model: best practices across</w:t>
            </w:r>
            <w:r>
              <w:rPr>
                <w:spacing w:val="-3"/>
              </w:rPr>
              <w:t> </w:t>
            </w:r>
            <w:r>
              <w:rPr/>
              <w:t>the</w:t>
            </w:r>
            <w:r>
              <w:rPr>
                <w:spacing w:val="-1"/>
              </w:rPr>
              <w:t> </w:t>
            </w:r>
            <w:r>
              <w:rPr/>
              <w:t>intercepts</w:t>
              <w:tab/>
              <w:t>6</w:t>
            </w:r>
          </w:hyperlink>
        </w:p>
        <w:p>
          <w:pPr>
            <w:pStyle w:val="TOC3"/>
            <w:numPr>
              <w:ilvl w:val="1"/>
              <w:numId w:val="1"/>
            </w:numPr>
            <w:tabs>
              <w:tab w:pos="944" w:val="left" w:leader="none"/>
              <w:tab w:pos="9156" w:val="right" w:leader="dot"/>
            </w:tabs>
            <w:spacing w:line="240" w:lineRule="auto" w:before="99" w:after="0"/>
            <w:ind w:left="943" w:right="0" w:hanging="378"/>
            <w:jc w:val="left"/>
          </w:pPr>
          <w:hyperlink w:history="true" w:anchor="_bookmark5">
            <w:r>
              <w:rPr/>
              <w:t>The ‘Sequential</w:t>
            </w:r>
            <w:r>
              <w:rPr>
                <w:spacing w:val="-2"/>
              </w:rPr>
              <w:t> </w:t>
            </w:r>
            <w:r>
              <w:rPr/>
              <w:t>Intercept</w:t>
            </w:r>
            <w:r>
              <w:rPr>
                <w:spacing w:val="1"/>
              </w:rPr>
              <w:t> </w:t>
            </w:r>
            <w:r>
              <w:rPr/>
              <w:t>Model’</w:t>
              <w:tab/>
              <w:t>6</w:t>
            </w:r>
          </w:hyperlink>
        </w:p>
        <w:p>
          <w:pPr>
            <w:pStyle w:val="TOC3"/>
            <w:numPr>
              <w:ilvl w:val="1"/>
              <w:numId w:val="1"/>
            </w:numPr>
            <w:tabs>
              <w:tab w:pos="944" w:val="left" w:leader="none"/>
              <w:tab w:pos="9156" w:val="right" w:leader="dot"/>
            </w:tabs>
            <w:spacing w:line="240" w:lineRule="auto" w:before="102" w:after="0"/>
            <w:ind w:left="943" w:right="0" w:hanging="378"/>
            <w:jc w:val="left"/>
          </w:pPr>
          <w:hyperlink w:history="true" w:anchor="_bookmark6">
            <w:r>
              <w:rPr/>
              <w:t>Key messages</w:t>
              <w:tab/>
              <w:t>8</w:t>
            </w:r>
          </w:hyperlink>
        </w:p>
        <w:p>
          <w:pPr>
            <w:pStyle w:val="TOC1"/>
            <w:numPr>
              <w:ilvl w:val="0"/>
              <w:numId w:val="1"/>
            </w:numPr>
            <w:tabs>
              <w:tab w:pos="396" w:val="left" w:leader="none"/>
              <w:tab w:pos="9156" w:val="right" w:leader="dot"/>
            </w:tabs>
            <w:spacing w:line="240" w:lineRule="auto" w:before="99" w:after="0"/>
            <w:ind w:left="396" w:right="0" w:hanging="257"/>
            <w:jc w:val="left"/>
          </w:pPr>
          <w:hyperlink w:history="true" w:anchor="_bookmark7">
            <w:r>
              <w:rPr/>
              <w:t>Conclusion</w:t>
              <w:tab/>
              <w:t>12</w:t>
            </w:r>
          </w:hyperlink>
        </w:p>
        <w:p>
          <w:pPr>
            <w:pStyle w:val="TOC1"/>
            <w:tabs>
              <w:tab w:pos="9156" w:val="right" w:leader="dot"/>
            </w:tabs>
            <w:ind w:left="139" w:firstLine="0"/>
          </w:pPr>
          <w:hyperlink w:history="true" w:anchor="_bookmark8">
            <w:r>
              <w:rPr/>
              <w:t>References</w:t>
              <w:tab/>
              <w:t>13</w:t>
            </w:r>
          </w:hyperlink>
        </w:p>
      </w:sdtContent>
    </w:sdt>
    <w:p>
      <w:pPr>
        <w:spacing w:after="0"/>
        <w:sectPr>
          <w:footerReference w:type="default" r:id="rId6"/>
          <w:pgSz w:w="11910" w:h="16840"/>
          <w:pgMar w:footer="775" w:header="0" w:top="1340" w:bottom="960" w:left="1300" w:right="1300"/>
          <w:pgNumType w:start="2"/>
        </w:sectPr>
      </w:pPr>
    </w:p>
    <w:p>
      <w:pPr>
        <w:pStyle w:val="Heading1"/>
        <w:tabs>
          <w:tab w:pos="9195" w:val="left" w:leader="none"/>
        </w:tabs>
        <w:rPr>
          <w:u w:val="none"/>
        </w:rPr>
      </w:pPr>
      <w:bookmarkStart w:name="Foreword" w:id="2"/>
      <w:bookmarkEnd w:id="2"/>
      <w:r>
        <w:rPr>
          <w:b w:val="0"/>
          <w:u w:val="none"/>
        </w:rPr>
      </w:r>
      <w:bookmarkStart w:name="_bookmark0" w:id="3"/>
      <w:bookmarkEnd w:id="3"/>
      <w:r>
        <w:rPr>
          <w:b w:val="0"/>
          <w:u w:val="none"/>
        </w:rPr>
      </w:r>
      <w:r>
        <w:rPr>
          <w:color w:val="00776F"/>
          <w:u w:val="single" w:color="A6A9AA"/>
        </w:rPr>
        <w:t>Foreword</w:t>
        <w:tab/>
      </w:r>
    </w:p>
    <w:p>
      <w:pPr>
        <w:pStyle w:val="BodyText"/>
        <w:rPr>
          <w:b/>
          <w:sz w:val="26"/>
        </w:rPr>
      </w:pPr>
    </w:p>
    <w:p>
      <w:pPr>
        <w:pStyle w:val="BodyText"/>
        <w:spacing w:before="5"/>
        <w:rPr>
          <w:b/>
          <w:sz w:val="26"/>
        </w:rPr>
      </w:pPr>
    </w:p>
    <w:p>
      <w:pPr>
        <w:pStyle w:val="BodyText"/>
        <w:spacing w:line="237" w:lineRule="auto"/>
        <w:ind w:left="139" w:right="286"/>
      </w:pPr>
      <w:r>
        <w:rPr/>
        <w:t>HM Inspectorate of Probation is committed to reviewing, developing and promoting the evidence base for high-quality probation and youth justice services. </w:t>
      </w:r>
      <w:r>
        <w:rPr>
          <w:i/>
          <w:sz w:val="23"/>
        </w:rPr>
        <w:t>Academic Insights </w:t>
      </w:r>
      <w:r>
        <w:rPr/>
        <w:t>are aimed at all those with an interest in the evidence base. We commission leading academics to present their views on specific topics, assisting with informed debate and aiding understanding of what helps and what hinders probation and youth justice services.</w:t>
      </w:r>
    </w:p>
    <w:p>
      <w:pPr>
        <w:pStyle w:val="BodyText"/>
        <w:spacing w:before="119"/>
        <w:ind w:left="139" w:right="167"/>
      </w:pPr>
      <w:r>
        <w:rPr/>
        <w:t>This report was kindly produced by Dr Suzanne Mooney, Dr Stephen Coulter, Professor Lisa Bunting and Dr Lorna Montgomery, introducing the ‘Sequential Intercept Model’ (SIM) which was originally developed in the USA as a cross-systems framework to consider the interface between the criminal justice and mental health systems. They highlight how the SIM can be used more widely as a trauma-informed framework which identifies key stages and opportunities for diverting children and adults with complex needs from the criminal justice system or from penetrating deeper into the system. Looking across the stages – termed ‘intercepts’ – there are a number of key messages, including the importance of</w:t>
      </w:r>
    </w:p>
    <w:p>
      <w:pPr>
        <w:pStyle w:val="BodyText"/>
        <w:spacing w:before="1"/>
        <w:ind w:left="139" w:right="879" w:hanging="1"/>
      </w:pPr>
      <w:r>
        <w:rPr/>
        <w:drawing>
          <wp:anchor distT="0" distB="0" distL="0" distR="0" allowOverlap="1" layoutInCell="1" locked="0" behindDoc="0" simplePos="0" relativeHeight="3">
            <wp:simplePos x="0" y="0"/>
            <wp:positionH relativeFrom="page">
              <wp:posOffset>914400</wp:posOffset>
            </wp:positionH>
            <wp:positionV relativeFrom="paragraph">
              <wp:posOffset>1089208</wp:posOffset>
            </wp:positionV>
            <wp:extent cx="1246235" cy="618458"/>
            <wp:effectExtent l="0" t="0" r="0" b="0"/>
            <wp:wrapTopAndBottom/>
            <wp:docPr id="3" name="image2.jpeg" descr="Dr R Moore Signature"/>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246235" cy="618458"/>
                    </a:xfrm>
                    <a:prstGeom prst="rect">
                      <a:avLst/>
                    </a:prstGeom>
                  </pic:spPr>
                </pic:pic>
              </a:graphicData>
            </a:graphic>
          </wp:anchor>
        </w:drawing>
      </w:r>
      <w:r>
        <w:rPr/>
        <w:t>cross-systems collaboration and service co-ordination, the need for appropriate information-sharing within and between agencies and services, and the benefits from strengthening positive relationships around the individual. It is concluded that with concerted collaborative efforts, there are opportunities to improve the life chances of children and adults by ensuring earlier access to the services required to meet their individual needs.</w:t>
      </w:r>
    </w:p>
    <w:p>
      <w:pPr>
        <w:pStyle w:val="Heading2"/>
        <w:spacing w:before="108"/>
        <w:ind w:left="139"/>
      </w:pPr>
      <w:r>
        <w:rPr/>
        <w:t>Dr Robin</w:t>
      </w:r>
      <w:r>
        <w:rPr>
          <w:spacing w:val="-3"/>
        </w:rPr>
        <w:t> </w:t>
      </w:r>
      <w:r>
        <w:rPr/>
        <w:t>Moore</w:t>
      </w:r>
    </w:p>
    <w:p>
      <w:pPr>
        <w:pStyle w:val="BodyText"/>
        <w:spacing w:before="1"/>
        <w:ind w:left="139"/>
      </w:pPr>
      <w:r>
        <w:rPr/>
        <w:t>Head of</w:t>
      </w:r>
      <w:r>
        <w:rPr>
          <w:spacing w:val="-9"/>
        </w:rPr>
        <w:t> </w:t>
      </w:r>
      <w:r>
        <w:rPr/>
        <w:t>Research</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8"/>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07"/>
      </w:tblGrid>
      <w:tr>
        <w:trPr>
          <w:trHeight w:val="2760" w:hRule="atLeast"/>
        </w:trPr>
        <w:tc>
          <w:tcPr>
            <w:tcW w:w="9007" w:type="dxa"/>
            <w:shd w:val="clear" w:color="auto" w:fill="D5D6D7"/>
          </w:tcPr>
          <w:p>
            <w:pPr>
              <w:pStyle w:val="TableParagraph"/>
              <w:spacing w:before="120"/>
              <w:ind w:left="103"/>
              <w:rPr>
                <w:b/>
                <w:sz w:val="22"/>
              </w:rPr>
            </w:pPr>
            <w:r>
              <w:rPr>
                <w:b/>
                <w:sz w:val="22"/>
              </w:rPr>
              <w:t>Author profiles</w:t>
            </w:r>
          </w:p>
          <w:p>
            <w:pPr>
              <w:pStyle w:val="TableParagraph"/>
              <w:spacing w:before="121"/>
              <w:ind w:left="103" w:right="161"/>
              <w:rPr>
                <w:sz w:val="22"/>
              </w:rPr>
            </w:pPr>
            <w:r>
              <w:rPr>
                <w:sz w:val="22"/>
              </w:rPr>
              <w:t>All authors are academics in the School of Social Sciences, Education and Social Work at Queen’s University Belfast. While each has differing specialisms, collectively they have been involved in a range of practice and research initiatives related to the implementation of trauma-informed approaches (TIA) across justice, child welfare, health, social care and education sectors and the associated evidence of effectiveness. Dr Mooney is currently leading a team undertaking a cross-sector organisational review of trauma-informed implementation as a means of sharing transferable learning and envisioning the next steps for TIA advancement in Northern Ireland.</w:t>
            </w:r>
          </w:p>
        </w:tc>
      </w:tr>
      <w:tr>
        <w:trPr>
          <w:trHeight w:val="770" w:hRule="atLeast"/>
        </w:trPr>
        <w:tc>
          <w:tcPr>
            <w:tcW w:w="9007" w:type="dxa"/>
            <w:shd w:val="clear" w:color="auto" w:fill="A2D769"/>
          </w:tcPr>
          <w:p>
            <w:pPr>
              <w:pStyle w:val="TableParagraph"/>
              <w:spacing w:before="120"/>
              <w:ind w:left="103" w:right="559"/>
              <w:rPr>
                <w:b/>
                <w:sz w:val="22"/>
              </w:rPr>
            </w:pPr>
            <w:r>
              <w:rPr>
                <w:b/>
                <w:color w:val="FFFFFF"/>
                <w:sz w:val="22"/>
              </w:rPr>
              <w:t>The views expressed in this publication do not necessarily reflect the policy position of HM Inspectorate of Probation</w:t>
            </w:r>
          </w:p>
        </w:tc>
      </w:tr>
    </w:tbl>
    <w:p>
      <w:pPr>
        <w:spacing w:after="0"/>
        <w:rPr>
          <w:sz w:val="22"/>
        </w:rPr>
        <w:sectPr>
          <w:pgSz w:w="11910" w:h="16840"/>
          <w:pgMar w:header="0" w:footer="775" w:top="1340" w:bottom="960" w:left="1300" w:right="1300"/>
        </w:sectPr>
      </w:pPr>
    </w:p>
    <w:p>
      <w:pPr>
        <w:pStyle w:val="Heading1"/>
        <w:numPr>
          <w:ilvl w:val="0"/>
          <w:numId w:val="2"/>
        </w:numPr>
        <w:tabs>
          <w:tab w:pos="501" w:val="left" w:leader="none"/>
          <w:tab w:pos="9195" w:val="left" w:leader="none"/>
        </w:tabs>
        <w:spacing w:line="240" w:lineRule="auto" w:before="80" w:after="0"/>
        <w:ind w:left="500" w:right="0" w:hanging="361"/>
        <w:jc w:val="left"/>
        <w:rPr>
          <w:u w:val="none"/>
        </w:rPr>
      </w:pPr>
      <w:bookmarkStart w:name="1. Introduction" w:id="4"/>
      <w:bookmarkEnd w:id="4"/>
      <w:r>
        <w:rPr>
          <w:b w:val="0"/>
          <w:u w:val="none"/>
        </w:rPr>
      </w:r>
      <w:bookmarkStart w:name="_bookmark1" w:id="5"/>
      <w:bookmarkEnd w:id="5"/>
      <w:r>
        <w:rPr>
          <w:b w:val="0"/>
          <w:u w:val="none"/>
        </w:rPr>
      </w:r>
      <w:bookmarkStart w:name="_bookmark1" w:id="6"/>
      <w:bookmarkEnd w:id="6"/>
      <w:r>
        <w:rPr>
          <w:color w:val="00776F"/>
          <w:u w:val="single" w:color="A6A9AA"/>
        </w:rPr>
        <w:t>I</w:t>
      </w:r>
      <w:r>
        <w:rPr>
          <w:color w:val="00776F"/>
          <w:u w:val="single" w:color="A6A9AA"/>
        </w:rPr>
        <w:t>ntroduction</w:t>
        <w:tab/>
      </w:r>
    </w:p>
    <w:p>
      <w:pPr>
        <w:pStyle w:val="BodyText"/>
        <w:rPr>
          <w:b/>
          <w:sz w:val="20"/>
        </w:rPr>
      </w:pPr>
    </w:p>
    <w:p>
      <w:pPr>
        <w:pStyle w:val="BodyText"/>
        <w:spacing w:before="11"/>
        <w:rPr>
          <w:b/>
          <w:sz w:val="23"/>
        </w:rPr>
      </w:pPr>
    </w:p>
    <w:p>
      <w:pPr>
        <w:pStyle w:val="Heading2"/>
        <w:numPr>
          <w:ilvl w:val="1"/>
          <w:numId w:val="2"/>
        </w:numPr>
        <w:tabs>
          <w:tab w:pos="556" w:val="left" w:leader="none"/>
          <w:tab w:pos="9195" w:val="left" w:leader="none"/>
        </w:tabs>
        <w:spacing w:line="240" w:lineRule="auto" w:before="101" w:after="0"/>
        <w:ind w:left="555" w:right="0" w:hanging="416"/>
        <w:jc w:val="left"/>
      </w:pPr>
      <w:bookmarkStart w:name="1.1 Trauma-informed justice systems" w:id="7"/>
      <w:bookmarkEnd w:id="7"/>
      <w:r>
        <w:rPr>
          <w:b w:val="0"/>
        </w:rPr>
      </w:r>
      <w:bookmarkStart w:name="1.1 Trauma-informed justice systems" w:id="8"/>
      <w:bookmarkEnd w:id="8"/>
      <w:r>
        <w:rPr>
          <w:color w:val="00776F"/>
          <w:shd w:fill="E7E6E6" w:color="auto" w:val="clear"/>
        </w:rPr>
        <w:t>T</w:t>
      </w:r>
      <w:r>
        <w:rPr>
          <w:color w:val="00776F"/>
          <w:shd w:fill="E7E6E6" w:color="auto" w:val="clear"/>
        </w:rPr>
        <w:t>rauma-informed justice</w:t>
      </w:r>
      <w:r>
        <w:rPr>
          <w:color w:val="00776F"/>
          <w:spacing w:val="-8"/>
          <w:shd w:fill="E7E6E6" w:color="auto" w:val="clear"/>
        </w:rPr>
        <w:t> </w:t>
      </w:r>
      <w:r>
        <w:rPr>
          <w:color w:val="00776F"/>
          <w:shd w:fill="E7E6E6" w:color="auto" w:val="clear"/>
        </w:rPr>
        <w:t>systems</w:t>
        <w:tab/>
      </w:r>
    </w:p>
    <w:p>
      <w:pPr>
        <w:pStyle w:val="BodyText"/>
        <w:spacing w:before="121"/>
        <w:ind w:left="139" w:right="199"/>
      </w:pPr>
      <w:r>
        <w:rPr/>
        <w:t>This paper is drawn from an original report (Mooney et al., 2019) commissioned by the Safeguarding Board Northern Ireland as part of a cross-departmental initiative to support the development of trauma-informed practice in Northern Ireland. The original report used the ‘Sequential Intercept Model’ or SIM as a framework to undertake a selective review of practice innovations at different stages of the justice process as a means to consider how to divert young people and adults with complex needs from the criminal justice system (CJS)</w:t>
      </w:r>
      <w:hyperlink w:history="true" w:anchor="_bookmark2">
        <w:r>
          <w:rPr>
            <w:position w:val="8"/>
            <w:sz w:val="14"/>
          </w:rPr>
          <w:t>1</w:t>
        </w:r>
      </w:hyperlink>
      <w:r>
        <w:rPr/>
        <w:t>.</w:t>
      </w:r>
    </w:p>
    <w:p>
      <w:pPr>
        <w:pStyle w:val="BodyText"/>
        <w:spacing w:before="120"/>
        <w:ind w:left="139" w:right="242"/>
      </w:pPr>
      <w:r>
        <w:rPr/>
        <w:t>Awareness of the SIM had emerged from a rapid evidence review which had summarised the evidence relating to the implementation of trauma-informed practice across multiple systems and settings (child welfare, health, education), including justice (see Bunting et al., 2018a-e; Bunting et al., 2019). International recognition of the strong connections between a trauma history and involvement with the justice system (Bellis et al., 2015), continued traumatic experiences within the justice system (Kubiak et al., 2017), and the relationship between harsh punishments and continued offending (Ko et al., 2008) has led to the adoption of trauma-informed approaches in secure settings both internationally and in the UK (e.g. D’Souza et al., 2021). Although not specifically named by its developers as a trauma-informed approach, the SIM was identified as a promising framework promoted by the US federal government Substance Abuse and Mental Health Administration Agency (SAMHSA), highlighting opportunities to implement community-based intervention for justice-involved individuals suffering mental ill health and/or substance use as a means of minimising CJS involvement (Munetz and Griffin, 2006, p.320). It is argued that such diversion has the potential to reduce costs to society and deliver appropriate services without increasing the risk to public safety (Heilbrun et al., 2015).</w:t>
      </w:r>
    </w:p>
    <w:p>
      <w:pPr>
        <w:pStyle w:val="BodyText"/>
        <w:spacing w:before="10"/>
        <w:rPr>
          <w:sz w:val="19"/>
        </w:rPr>
      </w:pPr>
    </w:p>
    <w:p>
      <w:pPr>
        <w:pStyle w:val="Heading2"/>
        <w:numPr>
          <w:ilvl w:val="1"/>
          <w:numId w:val="2"/>
        </w:numPr>
        <w:tabs>
          <w:tab w:pos="556" w:val="left" w:leader="none"/>
          <w:tab w:pos="9195" w:val="left" w:leader="none"/>
        </w:tabs>
        <w:spacing w:line="240" w:lineRule="auto" w:before="0" w:after="0"/>
        <w:ind w:left="555" w:right="0" w:hanging="416"/>
        <w:jc w:val="left"/>
      </w:pPr>
      <w:bookmarkStart w:name="1.2 Justice-involved persons with comple" w:id="9"/>
      <w:bookmarkEnd w:id="9"/>
      <w:r>
        <w:rPr>
          <w:b w:val="0"/>
        </w:rPr>
      </w:r>
      <w:bookmarkStart w:name="1.2 Justice-involved persons with comple" w:id="10"/>
      <w:bookmarkEnd w:id="10"/>
      <w:r>
        <w:rPr>
          <w:color w:val="00776F"/>
          <w:shd w:fill="E7E6E6" w:color="auto" w:val="clear"/>
        </w:rPr>
        <w:t>J</w:t>
      </w:r>
      <w:r>
        <w:rPr>
          <w:color w:val="00776F"/>
          <w:shd w:fill="E7E6E6" w:color="auto" w:val="clear"/>
        </w:rPr>
        <w:t>ustice-involved persons with complex</w:t>
      </w:r>
      <w:r>
        <w:rPr>
          <w:color w:val="00776F"/>
          <w:spacing w:val="-18"/>
          <w:shd w:fill="E7E6E6" w:color="auto" w:val="clear"/>
        </w:rPr>
        <w:t> </w:t>
      </w:r>
      <w:r>
        <w:rPr>
          <w:color w:val="00776F"/>
          <w:shd w:fill="E7E6E6" w:color="auto" w:val="clear"/>
        </w:rPr>
        <w:t>needs</w:t>
        <w:tab/>
      </w:r>
    </w:p>
    <w:p>
      <w:pPr>
        <w:pStyle w:val="BodyText"/>
        <w:spacing w:before="121"/>
        <w:ind w:left="139" w:right="183"/>
      </w:pPr>
      <w:r>
        <w:rPr/>
        <w:t>It is well established in international literature that young people and adults involved with the justice system are disproportionately affected by adversity and trauma (Miller et al., 2011), with exposure to childhood adversity identified as a key risk factor for subsequent justice involvement (Kerig and Becker, 2010; Bellis et al., 2015). UK research indicates the scale of the increased risk with population-based adverse childhood experience (ACE) surveys demonstrating that English adults exposed to four or more ACEs were 11 times more likely to be imprisoned at some time in their lives (Bellis et al., 2014) while Welsh adults experienced a 20 times greater likelihood in comparison to adults with no ACEs (Bellis et al., 2015). More recently, research in Manchester found that justice-involved children typically had multiple ACEs (see </w:t>
      </w:r>
      <w:hyperlink r:id="rId8">
        <w:r>
          <w:rPr>
            <w:color w:val="0000FF"/>
            <w:u w:val="single" w:color="0000FF"/>
          </w:rPr>
          <w:t>Academic Insights paper 2021/13</w:t>
        </w:r>
        <w:r>
          <w:rPr>
            <w:color w:val="0000FF"/>
          </w:rPr>
          <w:t> </w:t>
        </w:r>
      </w:hyperlink>
      <w:r>
        <w:rPr/>
        <w:t>by Gray, Smithson and Jump). The complex links between health, social inequality and crime are also increasingly recognised (for example Public Health England, 2018) with justice-involved persons known to suffer significantly worse health than the general population and more likely to be the victims of crime (Anders et al.,</w:t>
      </w:r>
      <w:r>
        <w:rPr>
          <w:spacing w:val="-2"/>
        </w:rPr>
        <w:t> </w:t>
      </w:r>
      <w:r>
        <w:rPr/>
        <w:t>2017).</w:t>
      </w:r>
    </w:p>
    <w:p>
      <w:pPr>
        <w:pStyle w:val="BodyText"/>
        <w:spacing w:before="120"/>
        <w:ind w:left="139" w:right="165"/>
      </w:pPr>
      <w:r>
        <w:rPr/>
        <w:t>Although much of the US SIM literature refers specifically to people impacted by ‘mental health and substance use disorders’, this paper uses the overarching term of persons with ‘complex needs’ to better capture the range of adversities common in justice-involved young people and adults. These include: different forms of abuse; family breakdown and care</w:t>
      </w:r>
    </w:p>
    <w:p>
      <w:pPr>
        <w:pStyle w:val="BodyText"/>
        <w:spacing w:before="5"/>
        <w:rPr>
          <w:sz w:val="11"/>
        </w:rPr>
      </w:pPr>
      <w:r>
        <w:rPr/>
        <w:pict>
          <v:shape style="position:absolute;margin-left:72pt;margin-top:9.261094pt;width:144pt;height:.1pt;mso-position-horizontal-relative:page;mso-position-vertical-relative:paragraph;z-index:-251654144;mso-wrap-distance-left:0;mso-wrap-distance-right:0" coordorigin="1440,185" coordsize="2880,0" path="m1440,185l4320,185e" filled="false" stroked="true" strokeweight=".72pt" strokecolor="#000000">
            <v:path arrowok="t"/>
            <v:stroke dashstyle="solid"/>
            <w10:wrap type="topAndBottom"/>
          </v:shape>
        </w:pict>
      </w:r>
    </w:p>
    <w:p>
      <w:pPr>
        <w:pStyle w:val="BodyText"/>
        <w:spacing w:before="11"/>
        <w:rPr>
          <w:sz w:val="7"/>
        </w:rPr>
      </w:pPr>
    </w:p>
    <w:p>
      <w:pPr>
        <w:spacing w:before="100"/>
        <w:ind w:left="140" w:right="286" w:firstLine="0"/>
        <w:jc w:val="left"/>
        <w:rPr>
          <w:sz w:val="18"/>
        </w:rPr>
      </w:pPr>
      <w:bookmarkStart w:name="_bookmark2" w:id="11"/>
      <w:bookmarkEnd w:id="11"/>
      <w:r>
        <w:rPr/>
      </w:r>
      <w:r>
        <w:rPr>
          <w:position w:val="6"/>
          <w:sz w:val="12"/>
        </w:rPr>
        <w:t>1 </w:t>
      </w:r>
      <w:r>
        <w:rPr>
          <w:sz w:val="18"/>
        </w:rPr>
        <w:t>Reference to the criminal justice system in this report is inclusive of policing, the judiciary including the Public Prosecution Service, Courts and Tribunals Service, the prison service, probation services, the Youth Justice Agency and prison healthcare services.</w:t>
      </w:r>
    </w:p>
    <w:p>
      <w:pPr>
        <w:spacing w:after="0"/>
        <w:jc w:val="left"/>
        <w:rPr>
          <w:sz w:val="18"/>
        </w:rPr>
        <w:sectPr>
          <w:pgSz w:w="11910" w:h="16840"/>
          <w:pgMar w:header="0" w:footer="775" w:top="1340" w:bottom="960" w:left="1300" w:right="1300"/>
        </w:sectPr>
      </w:pPr>
    </w:p>
    <w:p>
      <w:pPr>
        <w:pStyle w:val="BodyText"/>
        <w:spacing w:before="82"/>
        <w:ind w:left="139" w:right="181"/>
      </w:pPr>
      <w:r>
        <w:rPr/>
        <w:t>experience; domestic violence; homelessness; lack of education and employment; as well as mental ill health and substance use problems (see Table 1). UK policy developments have recognised these challenges with adult and youth justice processes striving to take account of these intersecting influences on offending behaviour and promote cross-sector partnership to enable upstream intervention to prevent or mitigate the underlying causes of offending (see, for example, Public Health England, 2018; Department of Health and Department of Justice,</w:t>
      </w:r>
      <w:r>
        <w:rPr>
          <w:spacing w:val="1"/>
        </w:rPr>
        <w:t> </w:t>
      </w:r>
      <w:r>
        <w:rPr/>
        <w:t>2019).</w:t>
      </w:r>
    </w:p>
    <w:p>
      <w:pPr>
        <w:pStyle w:val="BodyText"/>
        <w:spacing w:before="10"/>
        <w:rPr>
          <w:sz w:val="19"/>
        </w:rPr>
      </w:pPr>
    </w:p>
    <w:p>
      <w:pPr>
        <w:pStyle w:val="Heading2"/>
        <w:ind w:left="139"/>
      </w:pPr>
      <w:r>
        <w:rPr/>
        <w:t>Table 1: Complex needs prevalence in justice-involved persons (prison)</w:t>
      </w:r>
    </w:p>
    <w:p>
      <w:pPr>
        <w:pStyle w:val="BodyText"/>
        <w:spacing w:before="1"/>
        <w:ind w:left="139"/>
        <w:rPr>
          <w:sz w:val="14"/>
        </w:rPr>
      </w:pPr>
      <w:r>
        <w:rPr/>
        <w:t>(Prison Reform Trust, 2023, p.26)</w:t>
      </w:r>
      <w:hyperlink w:history="true" w:anchor="_bookmark3">
        <w:r>
          <w:rPr>
            <w:position w:val="8"/>
            <w:sz w:val="14"/>
          </w:rPr>
          <w:t>2</w:t>
        </w:r>
      </w:hyperlink>
    </w:p>
    <w:p>
      <w:pPr>
        <w:pStyle w:val="BodyText"/>
        <w:spacing w:before="10" w:after="1"/>
        <w:rPr>
          <w:sz w:val="13"/>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15"/>
        <w:gridCol w:w="2349"/>
        <w:gridCol w:w="2351"/>
      </w:tblGrid>
      <w:tr>
        <w:trPr>
          <w:trHeight w:val="575" w:hRule="atLeast"/>
        </w:trPr>
        <w:tc>
          <w:tcPr>
            <w:tcW w:w="4315" w:type="dxa"/>
            <w:shd w:val="clear" w:color="auto" w:fill="A2D769"/>
          </w:tcPr>
          <w:p>
            <w:pPr>
              <w:pStyle w:val="TableParagraph"/>
              <w:ind w:left="107"/>
              <w:rPr>
                <w:b/>
                <w:sz w:val="22"/>
              </w:rPr>
            </w:pPr>
            <w:r>
              <w:rPr>
                <w:b/>
                <w:sz w:val="22"/>
              </w:rPr>
              <w:t>Characteristic</w:t>
            </w:r>
          </w:p>
        </w:tc>
        <w:tc>
          <w:tcPr>
            <w:tcW w:w="2349" w:type="dxa"/>
            <w:shd w:val="clear" w:color="auto" w:fill="A2D769"/>
          </w:tcPr>
          <w:p>
            <w:pPr>
              <w:pStyle w:val="TableParagraph"/>
              <w:spacing w:before="22"/>
              <w:ind w:left="578" w:right="475" w:hanging="77"/>
              <w:rPr>
                <w:b/>
                <w:sz w:val="22"/>
              </w:rPr>
            </w:pPr>
            <w:r>
              <w:rPr>
                <w:b/>
                <w:sz w:val="22"/>
              </w:rPr>
              <w:t>Adult prison Population</w:t>
            </w:r>
          </w:p>
        </w:tc>
        <w:tc>
          <w:tcPr>
            <w:tcW w:w="2351" w:type="dxa"/>
            <w:shd w:val="clear" w:color="auto" w:fill="A2D769"/>
          </w:tcPr>
          <w:p>
            <w:pPr>
              <w:pStyle w:val="TableParagraph"/>
              <w:ind w:left="101" w:right="89"/>
              <w:jc w:val="center"/>
              <w:rPr>
                <w:b/>
                <w:sz w:val="22"/>
              </w:rPr>
            </w:pPr>
            <w:r>
              <w:rPr>
                <w:b/>
                <w:sz w:val="22"/>
              </w:rPr>
              <w:t>General population</w:t>
            </w:r>
          </w:p>
        </w:tc>
      </w:tr>
      <w:tr>
        <w:trPr>
          <w:trHeight w:val="578" w:hRule="atLeast"/>
        </w:trPr>
        <w:tc>
          <w:tcPr>
            <w:tcW w:w="4315" w:type="dxa"/>
            <w:shd w:val="clear" w:color="auto" w:fill="F1F1F1"/>
          </w:tcPr>
          <w:p>
            <w:pPr>
              <w:pStyle w:val="TableParagraph"/>
              <w:ind w:left="107"/>
              <w:rPr>
                <w:sz w:val="22"/>
              </w:rPr>
            </w:pPr>
            <w:r>
              <w:rPr>
                <w:sz w:val="22"/>
              </w:rPr>
              <w:t>Taken into care as a child</w:t>
            </w:r>
          </w:p>
        </w:tc>
        <w:tc>
          <w:tcPr>
            <w:tcW w:w="2349" w:type="dxa"/>
            <w:shd w:val="clear" w:color="auto" w:fill="F1F1F1"/>
          </w:tcPr>
          <w:p>
            <w:pPr>
              <w:pStyle w:val="TableParagraph"/>
              <w:spacing w:line="265" w:lineRule="exact" w:before="24"/>
              <w:ind w:left="369" w:right="359"/>
              <w:jc w:val="center"/>
              <w:rPr>
                <w:sz w:val="22"/>
              </w:rPr>
            </w:pPr>
            <w:r>
              <w:rPr>
                <w:sz w:val="22"/>
              </w:rPr>
              <w:t>31% of women</w:t>
            </w:r>
          </w:p>
          <w:p>
            <w:pPr>
              <w:pStyle w:val="TableParagraph"/>
              <w:spacing w:line="265" w:lineRule="exact" w:before="0"/>
              <w:ind w:left="370" w:right="359"/>
              <w:jc w:val="center"/>
              <w:rPr>
                <w:sz w:val="22"/>
              </w:rPr>
            </w:pPr>
            <w:r>
              <w:rPr>
                <w:sz w:val="22"/>
              </w:rPr>
              <w:t>24% of men</w:t>
            </w:r>
          </w:p>
        </w:tc>
        <w:tc>
          <w:tcPr>
            <w:tcW w:w="2351" w:type="dxa"/>
            <w:shd w:val="clear" w:color="auto" w:fill="F1F1F1"/>
          </w:tcPr>
          <w:p>
            <w:pPr>
              <w:pStyle w:val="TableParagraph"/>
              <w:ind w:left="100" w:right="89"/>
              <w:jc w:val="center"/>
              <w:rPr>
                <w:sz w:val="22"/>
              </w:rPr>
            </w:pPr>
            <w:r>
              <w:rPr>
                <w:sz w:val="22"/>
              </w:rPr>
              <w:t>2%</w:t>
            </w:r>
          </w:p>
        </w:tc>
      </w:tr>
      <w:tr>
        <w:trPr>
          <w:trHeight w:val="575" w:hRule="atLeast"/>
        </w:trPr>
        <w:tc>
          <w:tcPr>
            <w:tcW w:w="4315" w:type="dxa"/>
          </w:tcPr>
          <w:p>
            <w:pPr>
              <w:pStyle w:val="TableParagraph"/>
              <w:spacing w:before="154"/>
              <w:ind w:left="107"/>
              <w:rPr>
                <w:sz w:val="22"/>
              </w:rPr>
            </w:pPr>
            <w:r>
              <w:rPr>
                <w:sz w:val="22"/>
              </w:rPr>
              <w:t>Experienced abuse as a child</w:t>
            </w:r>
          </w:p>
        </w:tc>
        <w:tc>
          <w:tcPr>
            <w:tcW w:w="2349" w:type="dxa"/>
          </w:tcPr>
          <w:p>
            <w:pPr>
              <w:pStyle w:val="TableParagraph"/>
              <w:spacing w:line="265" w:lineRule="exact" w:before="22"/>
              <w:ind w:left="369" w:right="359"/>
              <w:jc w:val="center"/>
              <w:rPr>
                <w:sz w:val="22"/>
              </w:rPr>
            </w:pPr>
            <w:r>
              <w:rPr>
                <w:sz w:val="22"/>
              </w:rPr>
              <w:t>53% of women</w:t>
            </w:r>
          </w:p>
          <w:p>
            <w:pPr>
              <w:pStyle w:val="TableParagraph"/>
              <w:spacing w:line="265" w:lineRule="exact" w:before="0"/>
              <w:ind w:left="370" w:right="359"/>
              <w:jc w:val="center"/>
              <w:rPr>
                <w:sz w:val="22"/>
              </w:rPr>
            </w:pPr>
            <w:r>
              <w:rPr>
                <w:sz w:val="22"/>
              </w:rPr>
              <w:t>27% of men</w:t>
            </w:r>
          </w:p>
        </w:tc>
        <w:tc>
          <w:tcPr>
            <w:tcW w:w="2351" w:type="dxa"/>
          </w:tcPr>
          <w:p>
            <w:pPr>
              <w:pStyle w:val="TableParagraph"/>
              <w:spacing w:before="154"/>
              <w:ind w:left="100" w:right="89"/>
              <w:jc w:val="center"/>
              <w:rPr>
                <w:sz w:val="22"/>
              </w:rPr>
            </w:pPr>
            <w:r>
              <w:rPr>
                <w:sz w:val="22"/>
              </w:rPr>
              <w:t>20%</w:t>
            </w:r>
          </w:p>
        </w:tc>
      </w:tr>
      <w:tr>
        <w:trPr>
          <w:trHeight w:val="575" w:hRule="atLeast"/>
        </w:trPr>
        <w:tc>
          <w:tcPr>
            <w:tcW w:w="4315" w:type="dxa"/>
            <w:shd w:val="clear" w:color="auto" w:fill="F1F1F1"/>
          </w:tcPr>
          <w:p>
            <w:pPr>
              <w:pStyle w:val="TableParagraph"/>
              <w:spacing w:before="154"/>
              <w:ind w:left="107"/>
              <w:rPr>
                <w:sz w:val="22"/>
              </w:rPr>
            </w:pPr>
            <w:r>
              <w:rPr>
                <w:sz w:val="22"/>
              </w:rPr>
              <w:t>Observed violence in the home as a child</w:t>
            </w:r>
          </w:p>
        </w:tc>
        <w:tc>
          <w:tcPr>
            <w:tcW w:w="2349" w:type="dxa"/>
            <w:shd w:val="clear" w:color="auto" w:fill="F1F1F1"/>
          </w:tcPr>
          <w:p>
            <w:pPr>
              <w:pStyle w:val="TableParagraph"/>
              <w:spacing w:before="22"/>
              <w:ind w:left="369" w:right="359"/>
              <w:jc w:val="center"/>
              <w:rPr>
                <w:sz w:val="22"/>
              </w:rPr>
            </w:pPr>
            <w:r>
              <w:rPr>
                <w:sz w:val="22"/>
              </w:rPr>
              <w:t>50% of women</w:t>
            </w:r>
          </w:p>
          <w:p>
            <w:pPr>
              <w:pStyle w:val="TableParagraph"/>
              <w:spacing w:before="1"/>
              <w:ind w:left="370" w:right="359"/>
              <w:jc w:val="center"/>
              <w:rPr>
                <w:sz w:val="22"/>
              </w:rPr>
            </w:pPr>
            <w:r>
              <w:rPr>
                <w:sz w:val="22"/>
              </w:rPr>
              <w:t>40% of men</w:t>
            </w:r>
          </w:p>
        </w:tc>
        <w:tc>
          <w:tcPr>
            <w:tcW w:w="2351" w:type="dxa"/>
            <w:shd w:val="clear" w:color="auto" w:fill="F1F1F1"/>
          </w:tcPr>
          <w:p>
            <w:pPr>
              <w:pStyle w:val="TableParagraph"/>
              <w:spacing w:before="154"/>
              <w:ind w:left="100" w:right="89"/>
              <w:jc w:val="center"/>
              <w:rPr>
                <w:sz w:val="22"/>
              </w:rPr>
            </w:pPr>
            <w:r>
              <w:rPr>
                <w:sz w:val="22"/>
              </w:rPr>
              <w:t>14%</w:t>
            </w:r>
          </w:p>
        </w:tc>
      </w:tr>
      <w:tr>
        <w:trPr>
          <w:trHeight w:val="575" w:hRule="atLeast"/>
        </w:trPr>
        <w:tc>
          <w:tcPr>
            <w:tcW w:w="4315" w:type="dxa"/>
          </w:tcPr>
          <w:p>
            <w:pPr>
              <w:pStyle w:val="TableParagraph"/>
              <w:spacing w:before="22"/>
              <w:ind w:left="107" w:right="373"/>
              <w:rPr>
                <w:sz w:val="22"/>
              </w:rPr>
            </w:pPr>
            <w:r>
              <w:rPr>
                <w:sz w:val="22"/>
              </w:rPr>
              <w:t>Expelled or permanently excluded from school</w:t>
            </w:r>
          </w:p>
        </w:tc>
        <w:tc>
          <w:tcPr>
            <w:tcW w:w="2349" w:type="dxa"/>
          </w:tcPr>
          <w:p>
            <w:pPr>
              <w:pStyle w:val="TableParagraph"/>
              <w:spacing w:before="22"/>
              <w:ind w:left="372" w:right="359"/>
              <w:jc w:val="center"/>
              <w:rPr>
                <w:sz w:val="22"/>
              </w:rPr>
            </w:pPr>
            <w:r>
              <w:rPr>
                <w:sz w:val="22"/>
              </w:rPr>
              <w:t>32% for women</w:t>
            </w:r>
          </w:p>
          <w:p>
            <w:pPr>
              <w:pStyle w:val="TableParagraph"/>
              <w:spacing w:before="1"/>
              <w:ind w:left="372" w:right="359"/>
              <w:jc w:val="center"/>
              <w:rPr>
                <w:sz w:val="22"/>
              </w:rPr>
            </w:pPr>
            <w:r>
              <w:rPr>
                <w:sz w:val="22"/>
              </w:rPr>
              <w:t>43% for men</w:t>
            </w:r>
          </w:p>
        </w:tc>
        <w:tc>
          <w:tcPr>
            <w:tcW w:w="2351" w:type="dxa"/>
          </w:tcPr>
          <w:p>
            <w:pPr>
              <w:pStyle w:val="TableParagraph"/>
              <w:spacing w:before="22"/>
              <w:ind w:left="99" w:right="89"/>
              <w:jc w:val="center"/>
              <w:rPr>
                <w:sz w:val="22"/>
              </w:rPr>
            </w:pPr>
            <w:r>
              <w:rPr>
                <w:sz w:val="22"/>
              </w:rPr>
              <w:t>In 2005 &gt;1% of</w:t>
            </w:r>
          </w:p>
          <w:p>
            <w:pPr>
              <w:pStyle w:val="TableParagraph"/>
              <w:spacing w:before="1"/>
              <w:ind w:left="101" w:right="89"/>
              <w:jc w:val="center"/>
              <w:rPr>
                <w:sz w:val="22"/>
              </w:rPr>
            </w:pPr>
            <w:r>
              <w:rPr>
                <w:sz w:val="22"/>
              </w:rPr>
              <w:t>school pupils</w:t>
            </w:r>
          </w:p>
        </w:tc>
      </w:tr>
      <w:tr>
        <w:trPr>
          <w:trHeight w:val="575" w:hRule="atLeast"/>
        </w:trPr>
        <w:tc>
          <w:tcPr>
            <w:tcW w:w="4315" w:type="dxa"/>
            <w:shd w:val="clear" w:color="auto" w:fill="F1F1F1"/>
          </w:tcPr>
          <w:p>
            <w:pPr>
              <w:pStyle w:val="TableParagraph"/>
              <w:ind w:left="107"/>
              <w:rPr>
                <w:sz w:val="22"/>
              </w:rPr>
            </w:pPr>
            <w:r>
              <w:rPr>
                <w:sz w:val="22"/>
              </w:rPr>
              <w:t>No qualifications</w:t>
            </w:r>
          </w:p>
        </w:tc>
        <w:tc>
          <w:tcPr>
            <w:tcW w:w="2349" w:type="dxa"/>
            <w:shd w:val="clear" w:color="auto" w:fill="F1F1F1"/>
          </w:tcPr>
          <w:p>
            <w:pPr>
              <w:pStyle w:val="TableParagraph"/>
              <w:ind w:right="935"/>
              <w:jc w:val="right"/>
              <w:rPr>
                <w:sz w:val="22"/>
              </w:rPr>
            </w:pPr>
            <w:r>
              <w:rPr>
                <w:sz w:val="22"/>
              </w:rPr>
              <w:t>47%</w:t>
            </w:r>
          </w:p>
        </w:tc>
        <w:tc>
          <w:tcPr>
            <w:tcW w:w="2351" w:type="dxa"/>
            <w:shd w:val="clear" w:color="auto" w:fill="F1F1F1"/>
          </w:tcPr>
          <w:p>
            <w:pPr>
              <w:pStyle w:val="TableParagraph"/>
              <w:spacing w:before="22"/>
              <w:ind w:left="667" w:right="162" w:hanging="478"/>
              <w:rPr>
                <w:sz w:val="22"/>
              </w:rPr>
            </w:pPr>
            <w:r>
              <w:rPr>
                <w:sz w:val="22"/>
              </w:rPr>
              <w:t>15% of working age population</w:t>
            </w:r>
          </w:p>
        </w:tc>
      </w:tr>
      <w:tr>
        <w:trPr>
          <w:trHeight w:val="575" w:hRule="atLeast"/>
        </w:trPr>
        <w:tc>
          <w:tcPr>
            <w:tcW w:w="4315" w:type="dxa"/>
          </w:tcPr>
          <w:p>
            <w:pPr>
              <w:pStyle w:val="TableParagraph"/>
              <w:ind w:left="107"/>
              <w:rPr>
                <w:sz w:val="22"/>
              </w:rPr>
            </w:pPr>
            <w:r>
              <w:rPr>
                <w:sz w:val="22"/>
              </w:rPr>
              <w:t>Never had a job</w:t>
            </w:r>
          </w:p>
        </w:tc>
        <w:tc>
          <w:tcPr>
            <w:tcW w:w="2349" w:type="dxa"/>
          </w:tcPr>
          <w:p>
            <w:pPr>
              <w:pStyle w:val="TableParagraph"/>
              <w:ind w:right="935"/>
              <w:jc w:val="right"/>
              <w:rPr>
                <w:sz w:val="22"/>
              </w:rPr>
            </w:pPr>
            <w:r>
              <w:rPr>
                <w:sz w:val="22"/>
              </w:rPr>
              <w:t>13%</w:t>
            </w:r>
          </w:p>
        </w:tc>
        <w:tc>
          <w:tcPr>
            <w:tcW w:w="2351" w:type="dxa"/>
          </w:tcPr>
          <w:p>
            <w:pPr>
              <w:pStyle w:val="TableParagraph"/>
              <w:ind w:left="100" w:right="89"/>
              <w:jc w:val="center"/>
              <w:rPr>
                <w:sz w:val="22"/>
              </w:rPr>
            </w:pPr>
            <w:r>
              <w:rPr>
                <w:sz w:val="22"/>
              </w:rPr>
              <w:t>4%</w:t>
            </w:r>
          </w:p>
        </w:tc>
      </w:tr>
      <w:tr>
        <w:trPr>
          <w:trHeight w:val="577" w:hRule="atLeast"/>
        </w:trPr>
        <w:tc>
          <w:tcPr>
            <w:tcW w:w="4315" w:type="dxa"/>
            <w:shd w:val="clear" w:color="auto" w:fill="F1F1F1"/>
          </w:tcPr>
          <w:p>
            <w:pPr>
              <w:pStyle w:val="TableParagraph"/>
              <w:ind w:left="107"/>
              <w:rPr>
                <w:sz w:val="22"/>
              </w:rPr>
            </w:pPr>
            <w:r>
              <w:rPr>
                <w:sz w:val="22"/>
              </w:rPr>
              <w:t>Homeless before entering custody</w:t>
            </w:r>
          </w:p>
        </w:tc>
        <w:tc>
          <w:tcPr>
            <w:tcW w:w="2349" w:type="dxa"/>
            <w:shd w:val="clear" w:color="auto" w:fill="F1F1F1"/>
          </w:tcPr>
          <w:p>
            <w:pPr>
              <w:pStyle w:val="TableParagraph"/>
              <w:ind w:right="935"/>
              <w:jc w:val="right"/>
              <w:rPr>
                <w:sz w:val="22"/>
              </w:rPr>
            </w:pPr>
            <w:r>
              <w:rPr>
                <w:sz w:val="22"/>
              </w:rPr>
              <w:t>15%</w:t>
            </w:r>
          </w:p>
        </w:tc>
        <w:tc>
          <w:tcPr>
            <w:tcW w:w="2351" w:type="dxa"/>
            <w:shd w:val="clear" w:color="auto" w:fill="F1F1F1"/>
          </w:tcPr>
          <w:p>
            <w:pPr>
              <w:pStyle w:val="TableParagraph"/>
              <w:ind w:left="100" w:right="89"/>
              <w:jc w:val="center"/>
              <w:rPr>
                <w:sz w:val="22"/>
              </w:rPr>
            </w:pPr>
            <w:r>
              <w:rPr>
                <w:sz w:val="22"/>
              </w:rPr>
              <w:t>4%</w:t>
            </w:r>
          </w:p>
        </w:tc>
      </w:tr>
      <w:tr>
        <w:trPr>
          <w:trHeight w:val="575" w:hRule="atLeast"/>
        </w:trPr>
        <w:tc>
          <w:tcPr>
            <w:tcW w:w="4315" w:type="dxa"/>
          </w:tcPr>
          <w:p>
            <w:pPr>
              <w:pStyle w:val="TableParagraph"/>
              <w:spacing w:before="154"/>
              <w:ind w:left="107"/>
              <w:rPr>
                <w:sz w:val="22"/>
              </w:rPr>
            </w:pPr>
            <w:r>
              <w:rPr>
                <w:sz w:val="22"/>
              </w:rPr>
              <w:t>Have symptoms indicative of psychosis</w:t>
            </w:r>
          </w:p>
        </w:tc>
        <w:tc>
          <w:tcPr>
            <w:tcW w:w="2349" w:type="dxa"/>
          </w:tcPr>
          <w:p>
            <w:pPr>
              <w:pStyle w:val="TableParagraph"/>
              <w:spacing w:line="265" w:lineRule="exact" w:before="22"/>
              <w:ind w:left="372" w:right="359"/>
              <w:jc w:val="center"/>
              <w:rPr>
                <w:sz w:val="22"/>
              </w:rPr>
            </w:pPr>
            <w:r>
              <w:rPr>
                <w:sz w:val="22"/>
              </w:rPr>
              <w:t>25% for women</w:t>
            </w:r>
          </w:p>
          <w:p>
            <w:pPr>
              <w:pStyle w:val="TableParagraph"/>
              <w:spacing w:line="265" w:lineRule="exact" w:before="0"/>
              <w:ind w:left="372" w:right="359"/>
              <w:jc w:val="center"/>
              <w:rPr>
                <w:sz w:val="22"/>
              </w:rPr>
            </w:pPr>
            <w:r>
              <w:rPr>
                <w:sz w:val="22"/>
              </w:rPr>
              <w:t>15% for men</w:t>
            </w:r>
          </w:p>
        </w:tc>
        <w:tc>
          <w:tcPr>
            <w:tcW w:w="2351" w:type="dxa"/>
          </w:tcPr>
          <w:p>
            <w:pPr>
              <w:pStyle w:val="TableParagraph"/>
              <w:spacing w:before="154"/>
              <w:ind w:left="100" w:right="89"/>
              <w:jc w:val="center"/>
              <w:rPr>
                <w:sz w:val="22"/>
              </w:rPr>
            </w:pPr>
            <w:r>
              <w:rPr>
                <w:sz w:val="22"/>
              </w:rPr>
              <w:t>4%</w:t>
            </w:r>
          </w:p>
        </w:tc>
      </w:tr>
      <w:tr>
        <w:trPr>
          <w:trHeight w:val="575" w:hRule="atLeast"/>
        </w:trPr>
        <w:tc>
          <w:tcPr>
            <w:tcW w:w="4315" w:type="dxa"/>
            <w:shd w:val="clear" w:color="auto" w:fill="F1F1F1"/>
          </w:tcPr>
          <w:p>
            <w:pPr>
              <w:pStyle w:val="TableParagraph"/>
              <w:spacing w:before="22"/>
              <w:ind w:left="107" w:right="259"/>
              <w:rPr>
                <w:sz w:val="22"/>
              </w:rPr>
            </w:pPr>
            <w:r>
              <w:rPr>
                <w:sz w:val="22"/>
              </w:rPr>
              <w:t>Identified as suffering from both anxiety and depression</w:t>
            </w:r>
          </w:p>
        </w:tc>
        <w:tc>
          <w:tcPr>
            <w:tcW w:w="2349" w:type="dxa"/>
            <w:shd w:val="clear" w:color="auto" w:fill="F1F1F1"/>
          </w:tcPr>
          <w:p>
            <w:pPr>
              <w:pStyle w:val="TableParagraph"/>
              <w:spacing w:before="22"/>
              <w:ind w:left="372" w:right="359"/>
              <w:jc w:val="center"/>
              <w:rPr>
                <w:sz w:val="22"/>
              </w:rPr>
            </w:pPr>
            <w:r>
              <w:rPr>
                <w:sz w:val="22"/>
              </w:rPr>
              <w:t>49% for women</w:t>
            </w:r>
          </w:p>
          <w:p>
            <w:pPr>
              <w:pStyle w:val="TableParagraph"/>
              <w:spacing w:before="1"/>
              <w:ind w:left="372" w:right="359"/>
              <w:jc w:val="center"/>
              <w:rPr>
                <w:sz w:val="22"/>
              </w:rPr>
            </w:pPr>
            <w:r>
              <w:rPr>
                <w:sz w:val="22"/>
              </w:rPr>
              <w:t>23% for men</w:t>
            </w:r>
          </w:p>
        </w:tc>
        <w:tc>
          <w:tcPr>
            <w:tcW w:w="2351" w:type="dxa"/>
            <w:shd w:val="clear" w:color="auto" w:fill="F1F1F1"/>
          </w:tcPr>
          <w:p>
            <w:pPr>
              <w:pStyle w:val="TableParagraph"/>
              <w:spacing w:before="154"/>
              <w:ind w:left="100" w:right="89"/>
              <w:jc w:val="center"/>
              <w:rPr>
                <w:sz w:val="22"/>
              </w:rPr>
            </w:pPr>
            <w:r>
              <w:rPr>
                <w:sz w:val="22"/>
              </w:rPr>
              <w:t>15%</w:t>
            </w:r>
          </w:p>
        </w:tc>
      </w:tr>
      <w:tr>
        <w:trPr>
          <w:trHeight w:val="575" w:hRule="atLeast"/>
        </w:trPr>
        <w:tc>
          <w:tcPr>
            <w:tcW w:w="4315" w:type="dxa"/>
          </w:tcPr>
          <w:p>
            <w:pPr>
              <w:pStyle w:val="TableParagraph"/>
              <w:spacing w:before="154"/>
              <w:ind w:left="107"/>
              <w:rPr>
                <w:sz w:val="22"/>
              </w:rPr>
            </w:pPr>
            <w:r>
              <w:rPr>
                <w:sz w:val="22"/>
              </w:rPr>
              <w:t>Have attempted suicide at some point</w:t>
            </w:r>
          </w:p>
        </w:tc>
        <w:tc>
          <w:tcPr>
            <w:tcW w:w="2349" w:type="dxa"/>
          </w:tcPr>
          <w:p>
            <w:pPr>
              <w:pStyle w:val="TableParagraph"/>
              <w:spacing w:before="22"/>
              <w:ind w:left="372" w:right="359"/>
              <w:jc w:val="center"/>
              <w:rPr>
                <w:sz w:val="22"/>
              </w:rPr>
            </w:pPr>
            <w:r>
              <w:rPr>
                <w:sz w:val="22"/>
              </w:rPr>
              <w:t>46% for women</w:t>
            </w:r>
          </w:p>
          <w:p>
            <w:pPr>
              <w:pStyle w:val="TableParagraph"/>
              <w:spacing w:before="1"/>
              <w:ind w:left="372" w:right="359"/>
              <w:jc w:val="center"/>
              <w:rPr>
                <w:sz w:val="22"/>
              </w:rPr>
            </w:pPr>
            <w:r>
              <w:rPr>
                <w:sz w:val="22"/>
              </w:rPr>
              <w:t>21% for men</w:t>
            </w:r>
          </w:p>
        </w:tc>
        <w:tc>
          <w:tcPr>
            <w:tcW w:w="2351" w:type="dxa"/>
          </w:tcPr>
          <w:p>
            <w:pPr>
              <w:pStyle w:val="TableParagraph"/>
              <w:spacing w:before="154"/>
              <w:ind w:left="100" w:right="89"/>
              <w:jc w:val="center"/>
              <w:rPr>
                <w:sz w:val="22"/>
              </w:rPr>
            </w:pPr>
            <w:r>
              <w:rPr>
                <w:sz w:val="22"/>
              </w:rPr>
              <w:t>6%</w:t>
            </w:r>
          </w:p>
        </w:tc>
      </w:tr>
      <w:tr>
        <w:trPr>
          <w:trHeight w:val="575" w:hRule="atLeast"/>
        </w:trPr>
        <w:tc>
          <w:tcPr>
            <w:tcW w:w="4315" w:type="dxa"/>
            <w:shd w:val="clear" w:color="auto" w:fill="F1F1F1"/>
          </w:tcPr>
          <w:p>
            <w:pPr>
              <w:pStyle w:val="TableParagraph"/>
              <w:ind w:left="107"/>
              <w:rPr>
                <w:sz w:val="22"/>
              </w:rPr>
            </w:pPr>
            <w:r>
              <w:rPr>
                <w:sz w:val="22"/>
              </w:rPr>
              <w:t>Have ever used Class A drugs</w:t>
            </w:r>
          </w:p>
        </w:tc>
        <w:tc>
          <w:tcPr>
            <w:tcW w:w="2349" w:type="dxa"/>
            <w:shd w:val="clear" w:color="auto" w:fill="F1F1F1"/>
          </w:tcPr>
          <w:p>
            <w:pPr>
              <w:pStyle w:val="TableParagraph"/>
              <w:ind w:right="935"/>
              <w:jc w:val="right"/>
              <w:rPr>
                <w:sz w:val="22"/>
              </w:rPr>
            </w:pPr>
            <w:r>
              <w:rPr>
                <w:sz w:val="22"/>
              </w:rPr>
              <w:t>64%</w:t>
            </w:r>
          </w:p>
        </w:tc>
        <w:tc>
          <w:tcPr>
            <w:tcW w:w="2351" w:type="dxa"/>
            <w:shd w:val="clear" w:color="auto" w:fill="F1F1F1"/>
          </w:tcPr>
          <w:p>
            <w:pPr>
              <w:pStyle w:val="TableParagraph"/>
              <w:ind w:left="100" w:right="89"/>
              <w:jc w:val="center"/>
              <w:rPr>
                <w:sz w:val="22"/>
              </w:rPr>
            </w:pPr>
            <w:r>
              <w:rPr>
                <w:sz w:val="22"/>
              </w:rPr>
              <w:t>13%</w:t>
            </w:r>
          </w:p>
        </w:tc>
      </w:tr>
    </w:tbl>
    <w:p>
      <w:pPr>
        <w:pStyle w:val="BodyText"/>
        <w:spacing w:before="230"/>
        <w:ind w:left="139" w:right="249"/>
      </w:pPr>
      <w:r>
        <w:rPr/>
        <w:t>In addition to the prevalence of a trauma history for individuals </w:t>
      </w:r>
      <w:r>
        <w:rPr>
          <w:i/>
          <w:sz w:val="23"/>
        </w:rPr>
        <w:t>prior to </w:t>
      </w:r>
      <w:r>
        <w:rPr/>
        <w:t>their involvement with the CJS, the potential for the justice process itself to evoke a trauma response is well evidenced and widely accepted (Kubiak et al., 2017; see also </w:t>
      </w:r>
      <w:hyperlink r:id="rId9">
        <w:r>
          <w:rPr>
            <w:color w:val="0000FF"/>
            <w:u w:val="single" w:color="0000FF"/>
          </w:rPr>
          <w:t>Academic Insights paper</w:t>
        </w:r>
      </w:hyperlink>
      <w:r>
        <w:rPr>
          <w:color w:val="0000FF"/>
        </w:rPr>
        <w:t> </w:t>
      </w:r>
      <w:hyperlink r:id="rId9">
        <w:r>
          <w:rPr>
            <w:color w:val="0000FF"/>
            <w:u w:val="single" w:color="0000FF"/>
          </w:rPr>
          <w:t>2023/09</w:t>
        </w:r>
        <w:r>
          <w:rPr>
            <w:color w:val="0000FF"/>
          </w:rPr>
          <w:t> </w:t>
        </w:r>
      </w:hyperlink>
      <w:r>
        <w:rPr/>
        <w:t>by Kilkelly). Trauma triggering experiences may occur in the innumerable interactions and processes that make up the justice pathway. While practices frequently utilised in justice settings may be considered necessary to maintain order, manage challenging behaviours and increase safety for staff and others (particularly within custodial establishments), these interpersonally restrictive practices are recognised as potentially traumatic in their own right, and can have a re-traumatising effect on people impacted by early life trauma (Baker et al., 2022; Cusack et al., 2016).</w:t>
      </w:r>
    </w:p>
    <w:p>
      <w:pPr>
        <w:pStyle w:val="BodyText"/>
        <w:rPr>
          <w:sz w:val="20"/>
        </w:rPr>
      </w:pPr>
    </w:p>
    <w:p>
      <w:pPr>
        <w:pStyle w:val="BodyText"/>
        <w:rPr>
          <w:sz w:val="20"/>
        </w:rPr>
      </w:pPr>
    </w:p>
    <w:p>
      <w:pPr>
        <w:pStyle w:val="BodyText"/>
        <w:rPr>
          <w:sz w:val="20"/>
        </w:rPr>
      </w:pPr>
      <w:r>
        <w:rPr/>
        <w:pict>
          <v:shape style="position:absolute;margin-left:72pt;margin-top:14.462421pt;width:144pt;height:.1pt;mso-position-horizontal-relative:page;mso-position-vertical-relative:paragraph;z-index:-251653120;mso-wrap-distance-left:0;mso-wrap-distance-right:0" coordorigin="1440,289" coordsize="2880,0" path="m1440,289l4320,289e" filled="false" stroked="true" strokeweight=".72pt" strokecolor="#000000">
            <v:path arrowok="t"/>
            <v:stroke dashstyle="solid"/>
            <w10:wrap type="topAndBottom"/>
          </v:shape>
        </w:pict>
      </w:r>
    </w:p>
    <w:p>
      <w:pPr>
        <w:pStyle w:val="BodyText"/>
        <w:spacing w:before="11"/>
        <w:rPr>
          <w:sz w:val="7"/>
        </w:rPr>
      </w:pPr>
    </w:p>
    <w:p>
      <w:pPr>
        <w:spacing w:before="100"/>
        <w:ind w:left="140" w:right="0" w:firstLine="0"/>
        <w:jc w:val="left"/>
        <w:rPr>
          <w:sz w:val="18"/>
        </w:rPr>
      </w:pPr>
      <w:bookmarkStart w:name="_bookmark3" w:id="12"/>
      <w:bookmarkEnd w:id="12"/>
      <w:r>
        <w:rPr/>
      </w:r>
      <w:r>
        <w:rPr>
          <w:position w:val="6"/>
          <w:sz w:val="12"/>
        </w:rPr>
        <w:t>2 </w:t>
      </w:r>
      <w:r>
        <w:rPr>
          <w:sz w:val="18"/>
        </w:rPr>
        <w:t>Please see original reference for sources of statistics.</w:t>
      </w:r>
    </w:p>
    <w:p>
      <w:pPr>
        <w:spacing w:after="0"/>
        <w:jc w:val="left"/>
        <w:rPr>
          <w:sz w:val="18"/>
        </w:rPr>
        <w:sectPr>
          <w:pgSz w:w="11910" w:h="16840"/>
          <w:pgMar w:header="0" w:footer="775" w:top="1340" w:bottom="960" w:left="1300" w:right="1300"/>
        </w:sectPr>
      </w:pPr>
    </w:p>
    <w:p>
      <w:pPr>
        <w:pStyle w:val="Heading1"/>
        <w:numPr>
          <w:ilvl w:val="0"/>
          <w:numId w:val="2"/>
        </w:numPr>
        <w:tabs>
          <w:tab w:pos="501" w:val="left" w:leader="none"/>
        </w:tabs>
        <w:spacing w:line="240" w:lineRule="auto" w:before="80" w:after="0"/>
        <w:ind w:left="500" w:right="0" w:hanging="361"/>
        <w:jc w:val="left"/>
        <w:rPr>
          <w:u w:val="none"/>
        </w:rPr>
      </w:pPr>
      <w:bookmarkStart w:name="2. The Sequential Intercept Model: best " w:id="13"/>
      <w:bookmarkEnd w:id="13"/>
      <w:r>
        <w:rPr>
          <w:b w:val="0"/>
          <w:u w:val="none"/>
        </w:rPr>
      </w:r>
      <w:bookmarkStart w:name="_bookmark4" w:id="14"/>
      <w:bookmarkEnd w:id="14"/>
      <w:r>
        <w:rPr>
          <w:b w:val="0"/>
          <w:u w:val="none"/>
        </w:rPr>
      </w:r>
      <w:bookmarkStart w:name="_bookmark4" w:id="15"/>
      <w:bookmarkEnd w:id="15"/>
      <w:r>
        <w:rPr>
          <w:color w:val="00776F"/>
          <w:u w:val="none"/>
        </w:rPr>
        <w:t>T</w:t>
      </w:r>
      <w:r>
        <w:rPr>
          <w:color w:val="00776F"/>
          <w:u w:val="none"/>
        </w:rPr>
        <w:t>he Sequential Intercept Model: best practices</w:t>
      </w:r>
      <w:r>
        <w:rPr>
          <w:color w:val="00776F"/>
          <w:spacing w:val="-23"/>
          <w:u w:val="none"/>
        </w:rPr>
        <w:t> </w:t>
      </w:r>
      <w:r>
        <w:rPr>
          <w:color w:val="00776F"/>
          <w:u w:val="none"/>
        </w:rPr>
        <w:t>across</w:t>
      </w:r>
    </w:p>
    <w:p>
      <w:pPr>
        <w:tabs>
          <w:tab w:pos="499" w:val="left" w:leader="none"/>
          <w:tab w:pos="9195" w:val="left" w:leader="none"/>
        </w:tabs>
        <w:spacing w:before="1"/>
        <w:ind w:left="111" w:right="0" w:firstLine="0"/>
        <w:jc w:val="left"/>
        <w:rPr>
          <w:b/>
          <w:sz w:val="32"/>
        </w:rPr>
      </w:pPr>
      <w:r>
        <w:rPr>
          <w:b/>
          <w:color w:val="00776F"/>
          <w:w w:val="99"/>
          <w:sz w:val="32"/>
          <w:u w:val="single" w:color="A6A9AA"/>
        </w:rPr>
        <w:t> </w:t>
      </w:r>
      <w:r>
        <w:rPr>
          <w:b/>
          <w:color w:val="00776F"/>
          <w:sz w:val="32"/>
          <w:u w:val="single" w:color="A6A9AA"/>
        </w:rPr>
        <w:tab/>
        <w:t>the</w:t>
      </w:r>
      <w:r>
        <w:rPr>
          <w:b/>
          <w:color w:val="00776F"/>
          <w:spacing w:val="-8"/>
          <w:sz w:val="32"/>
          <w:u w:val="single" w:color="A6A9AA"/>
        </w:rPr>
        <w:t> </w:t>
      </w:r>
      <w:r>
        <w:rPr>
          <w:b/>
          <w:color w:val="00776F"/>
          <w:sz w:val="32"/>
          <w:u w:val="single" w:color="A6A9AA"/>
        </w:rPr>
        <w:t>intercepts</w:t>
        <w:tab/>
      </w:r>
    </w:p>
    <w:p>
      <w:pPr>
        <w:pStyle w:val="BodyText"/>
        <w:rPr>
          <w:b/>
          <w:sz w:val="20"/>
        </w:rPr>
      </w:pPr>
    </w:p>
    <w:p>
      <w:pPr>
        <w:pStyle w:val="BodyText"/>
        <w:spacing w:before="10"/>
        <w:rPr>
          <w:b/>
          <w:sz w:val="23"/>
        </w:rPr>
      </w:pPr>
    </w:p>
    <w:p>
      <w:pPr>
        <w:pStyle w:val="Heading2"/>
        <w:numPr>
          <w:ilvl w:val="1"/>
          <w:numId w:val="2"/>
        </w:numPr>
        <w:tabs>
          <w:tab w:pos="556" w:val="left" w:leader="none"/>
          <w:tab w:pos="9195" w:val="left" w:leader="none"/>
        </w:tabs>
        <w:spacing w:line="240" w:lineRule="auto" w:before="101" w:after="0"/>
        <w:ind w:left="555" w:right="0" w:hanging="416"/>
        <w:jc w:val="left"/>
      </w:pPr>
      <w:bookmarkStart w:name="2.1 The ‘Sequential Intercept Model’" w:id="16"/>
      <w:bookmarkEnd w:id="16"/>
      <w:r>
        <w:rPr>
          <w:b w:val="0"/>
        </w:rPr>
      </w:r>
      <w:bookmarkStart w:name="_bookmark5" w:id="17"/>
      <w:bookmarkEnd w:id="17"/>
      <w:r>
        <w:rPr>
          <w:b w:val="0"/>
        </w:rPr>
      </w:r>
      <w:bookmarkStart w:name="_bookmark5" w:id="18"/>
      <w:bookmarkEnd w:id="18"/>
      <w:r>
        <w:rPr>
          <w:color w:val="00776F"/>
          <w:shd w:fill="E7E6E6" w:color="auto" w:val="clear"/>
        </w:rPr>
        <w:t>T</w:t>
      </w:r>
      <w:r>
        <w:rPr>
          <w:color w:val="00776F"/>
          <w:shd w:fill="E7E6E6" w:color="auto" w:val="clear"/>
        </w:rPr>
        <w:t>he ‘Sequential Intercept</w:t>
      </w:r>
      <w:r>
        <w:rPr>
          <w:color w:val="00776F"/>
          <w:spacing w:val="-14"/>
          <w:shd w:fill="E7E6E6" w:color="auto" w:val="clear"/>
        </w:rPr>
        <w:t> </w:t>
      </w:r>
      <w:r>
        <w:rPr>
          <w:color w:val="00776F"/>
          <w:shd w:fill="E7E6E6" w:color="auto" w:val="clear"/>
        </w:rPr>
        <w:t>Model’</w:t>
        <w:tab/>
      </w:r>
    </w:p>
    <w:p>
      <w:pPr>
        <w:pStyle w:val="BodyText"/>
        <w:spacing w:before="121"/>
        <w:ind w:left="140" w:right="208"/>
      </w:pPr>
      <w:r>
        <w:rPr/>
        <w:t>The ‘Sequential Intercept Model’ or SIM was developed in the USA (Policy Research Associates, 2018) as a cross-systems framework to consider the interface between the criminal justice and mental health systems. It has been utilised as a strategic planning tool to assess available resources, determine service gaps, identify opportunities, and develop priorities for action to improve system and service-led responses focused toward adults with mental health and substance use problems who are involved with the CJS. The SIM is premised on the recognition that the CJS is often ineffective at meeting the multi-faceted needs of people with complex needs, and that justice involvement itself can exacerbate existing difficulties, inadvertently increasing the likelihood of reoffending (Munetz and Griffin, 2006).</w:t>
      </w:r>
    </w:p>
    <w:p>
      <w:pPr>
        <w:pStyle w:val="BodyText"/>
        <w:spacing w:line="237" w:lineRule="auto" w:before="122"/>
        <w:ind w:left="140" w:right="225"/>
      </w:pPr>
      <w:r>
        <w:rPr/>
        <w:t>The SIM has undergone years of piloting and refinement. The original model delineated five intercepts (labelled 1 to 5) corresponding to key criminal justice processing decision points: law enforcement; initial detention/initial court hearings; jails/courts; re-entry; community corrections. An additional intercept (Intercept 0 ‘community services’) was formally introduced in recognition of the dual roles played by the police in protecting public safety and serving as emergency responders to people in crisis (Abreu et al., 2017). Police officers and emergency services therefore form an essential part of the </w:t>
      </w:r>
      <w:r>
        <w:rPr>
          <w:i/>
          <w:sz w:val="23"/>
        </w:rPr>
        <w:t>‘crisis care continuum’</w:t>
      </w:r>
      <w:r>
        <w:rPr/>
        <w:t>.</w:t>
      </w:r>
    </w:p>
    <w:p>
      <w:pPr>
        <w:pStyle w:val="BodyText"/>
        <w:spacing w:before="125"/>
        <w:ind w:left="140" w:right="137"/>
      </w:pPr>
      <w:r>
        <w:rPr/>
        <w:t>It is argued that these six decision points represent junctures where people could be prevented from ‘entering or penetrating deeper into the criminal justice system’ (Munetz and Griffin, 2006, p.544) and diverted to alternative services that are more appropriate to their needs. Each intercept therefore functions as a filter, with interventions ideally ‘front-loaded’ to ‘intercept’ people early in the pathway (Willison et al., 2018) and thus curtail criminal justice involvement to its lowest level.</w:t>
      </w:r>
    </w:p>
    <w:p>
      <w:pPr>
        <w:spacing w:after="0"/>
        <w:sectPr>
          <w:pgSz w:w="11910" w:h="16840"/>
          <w:pgMar w:header="0" w:footer="775" w:top="1340" w:bottom="960" w:left="1300" w:right="1300"/>
        </w:sectPr>
      </w:pPr>
    </w:p>
    <w:p>
      <w:pPr>
        <w:pStyle w:val="BodyText"/>
        <w:rPr>
          <w:sz w:val="26"/>
        </w:rPr>
      </w:pPr>
    </w:p>
    <w:p>
      <w:pPr>
        <w:pStyle w:val="BodyText"/>
        <w:spacing w:before="6"/>
        <w:rPr>
          <w:sz w:val="20"/>
        </w:rPr>
      </w:pPr>
    </w:p>
    <w:p>
      <w:pPr>
        <w:pStyle w:val="Heading2"/>
        <w:spacing w:line="300" w:lineRule="auto"/>
        <w:ind w:left="110" w:right="23" w:firstLine="489"/>
      </w:pPr>
      <w:r>
        <w:rPr>
          <w:color w:val="FFFFFF"/>
        </w:rPr>
        <w:t>Intercept 0 Community services</w:t>
      </w:r>
    </w:p>
    <w:p>
      <w:pPr>
        <w:pStyle w:val="BodyText"/>
        <w:spacing w:before="189"/>
        <w:ind w:left="110" w:right="90"/>
      </w:pPr>
      <w:r>
        <w:rPr/>
        <w:br w:type="column"/>
      </w:r>
      <w:r>
        <w:rPr/>
        <w:t>Intercept 0 identifies early intervention points to intercept people with complex needs </w:t>
      </w:r>
      <w:r>
        <w:rPr>
          <w:i/>
          <w:sz w:val="23"/>
        </w:rPr>
        <w:t>before </w:t>
      </w:r>
      <w:r>
        <w:rPr/>
        <w:t>they engage with the CJS. Both Intercept 0 and 1 focus on diverting people who are not considered a danger to the community away from criminal justice processing toward alternative service provision which can provide more appropriate treatment and support. Developing and resourcing a range of community-based services across the crisis care continuum is therefore considered essential to effective diversion at these early intercepts.</w:t>
      </w:r>
    </w:p>
    <w:p>
      <w:pPr>
        <w:spacing w:after="0"/>
        <w:sectPr>
          <w:footerReference w:type="default" r:id="rId10"/>
          <w:pgSz w:w="16840" w:h="11910" w:orient="landscape"/>
          <w:pgMar w:footer="0" w:header="0" w:top="340" w:bottom="0" w:left="840" w:right="820"/>
          <w:cols w:num="2" w:equalWidth="0">
            <w:col w:w="2379" w:space="343"/>
            <w:col w:w="12458"/>
          </w:cols>
        </w:sectPr>
      </w:pPr>
    </w:p>
    <w:p>
      <w:pPr>
        <w:pStyle w:val="BodyText"/>
        <w:rPr>
          <w:sz w:val="20"/>
        </w:rPr>
      </w:pPr>
    </w:p>
    <w:p>
      <w:pPr>
        <w:pStyle w:val="BodyText"/>
        <w:spacing w:before="11"/>
        <w:rPr>
          <w:sz w:val="14"/>
        </w:rPr>
      </w:pPr>
    </w:p>
    <w:p>
      <w:pPr>
        <w:spacing w:after="0"/>
        <w:rPr>
          <w:sz w:val="14"/>
        </w:rPr>
        <w:sectPr>
          <w:type w:val="continuous"/>
          <w:pgSz w:w="16840" w:h="11910" w:orient="landscape"/>
          <w:pgMar w:top="1580" w:bottom="280" w:left="840" w:right="820"/>
        </w:sectPr>
      </w:pPr>
    </w:p>
    <w:p>
      <w:pPr>
        <w:pStyle w:val="Heading2"/>
        <w:spacing w:before="224"/>
        <w:ind w:left="597"/>
      </w:pPr>
      <w:r>
        <w:rPr>
          <w:color w:val="FFFFFF"/>
        </w:rPr>
        <w:t>Intercept 1</w:t>
      </w:r>
    </w:p>
    <w:p>
      <w:pPr>
        <w:spacing w:line="216" w:lineRule="auto" w:before="87"/>
        <w:ind w:left="259" w:right="38" w:firstLine="0"/>
        <w:jc w:val="center"/>
        <w:rPr>
          <w:b/>
          <w:sz w:val="22"/>
        </w:rPr>
      </w:pPr>
      <w:r>
        <w:rPr>
          <w:b/>
          <w:color w:val="FFFFFF"/>
          <w:sz w:val="22"/>
        </w:rPr>
        <w:t>Law enforcement and emergency services</w:t>
      </w:r>
    </w:p>
    <w:p>
      <w:pPr>
        <w:pStyle w:val="BodyText"/>
        <w:spacing w:before="101"/>
        <w:ind w:left="259" w:right="248"/>
      </w:pPr>
      <w:r>
        <w:rPr/>
        <w:br w:type="column"/>
      </w:r>
      <w:r>
        <w:rPr/>
        <w:t>This intercept is the initial point of contact between an individual and police officers or other emergency responders. Like intercept 0, the goal of diversion at intercept 1 is to reduce further contact with the CJS by implementing alternatives to arrest and connecting individuals with complex needs to an appropriate range of services. At intercepts 0 and 1, there exists the possibility of ‘step down’ to community services or ‘step up’ to some level of CJS involvement depending on the presenting concerns.</w:t>
      </w:r>
    </w:p>
    <w:p>
      <w:pPr>
        <w:spacing w:after="0"/>
        <w:sectPr>
          <w:type w:val="continuous"/>
          <w:pgSz w:w="16840" w:h="11910" w:orient="landscape"/>
          <w:pgMar w:top="1580" w:bottom="280" w:left="840" w:right="820"/>
          <w:cols w:num="2" w:equalWidth="0">
            <w:col w:w="2228" w:space="345"/>
            <w:col w:w="12607"/>
          </w:cols>
        </w:sectPr>
      </w:pPr>
    </w:p>
    <w:p>
      <w:pPr>
        <w:pStyle w:val="BodyText"/>
        <w:spacing w:before="7"/>
        <w:rPr>
          <w:sz w:val="28"/>
        </w:rPr>
      </w:pPr>
    </w:p>
    <w:p>
      <w:pPr>
        <w:spacing w:after="0"/>
        <w:rPr>
          <w:sz w:val="28"/>
        </w:rPr>
        <w:sectPr>
          <w:type w:val="continuous"/>
          <w:pgSz w:w="16840" w:h="11910" w:orient="landscape"/>
          <w:pgMar w:top="1580" w:bottom="280" w:left="840" w:right="820"/>
        </w:sectPr>
      </w:pPr>
    </w:p>
    <w:p>
      <w:pPr>
        <w:pStyle w:val="BodyText"/>
        <w:spacing w:before="3"/>
        <w:rPr>
          <w:sz w:val="36"/>
        </w:rPr>
      </w:pPr>
    </w:p>
    <w:p>
      <w:pPr>
        <w:pStyle w:val="Heading2"/>
        <w:ind w:left="253" w:right="38"/>
        <w:jc w:val="center"/>
      </w:pPr>
      <w:r>
        <w:rPr>
          <w:color w:val="FFFFFF"/>
        </w:rPr>
        <w:t>Intercept 2</w:t>
      </w:r>
    </w:p>
    <w:p>
      <w:pPr>
        <w:spacing w:line="216" w:lineRule="auto" w:before="85"/>
        <w:ind w:left="256" w:right="38" w:firstLine="0"/>
        <w:jc w:val="center"/>
        <w:rPr>
          <w:b/>
          <w:sz w:val="22"/>
        </w:rPr>
      </w:pPr>
      <w:r>
        <w:rPr>
          <w:b/>
          <w:color w:val="FFFFFF"/>
          <w:sz w:val="22"/>
        </w:rPr>
        <w:t>Initial detention/ court hearing</w:t>
      </w:r>
    </w:p>
    <w:p>
      <w:pPr>
        <w:pStyle w:val="BodyText"/>
        <w:rPr>
          <w:b/>
          <w:sz w:val="26"/>
        </w:rPr>
      </w:pPr>
    </w:p>
    <w:p>
      <w:pPr>
        <w:pStyle w:val="BodyText"/>
        <w:rPr>
          <w:b/>
          <w:sz w:val="26"/>
        </w:rPr>
      </w:pPr>
    </w:p>
    <w:p>
      <w:pPr>
        <w:pStyle w:val="BodyText"/>
        <w:rPr>
          <w:b/>
          <w:sz w:val="26"/>
        </w:rPr>
      </w:pPr>
    </w:p>
    <w:p>
      <w:pPr>
        <w:spacing w:line="297" w:lineRule="auto" w:before="203"/>
        <w:ind w:left="482" w:right="194" w:hanging="66"/>
        <w:jc w:val="center"/>
        <w:rPr>
          <w:b/>
          <w:sz w:val="22"/>
        </w:rPr>
      </w:pPr>
      <w:r>
        <w:rPr>
          <w:b/>
          <w:color w:val="FFFFFF"/>
          <w:sz w:val="22"/>
        </w:rPr>
        <w:t>Intercept 3 Courts/Prison</w:t>
      </w:r>
    </w:p>
    <w:p>
      <w:pPr>
        <w:pStyle w:val="BodyText"/>
        <w:spacing w:before="101"/>
        <w:ind w:left="256" w:right="329"/>
      </w:pPr>
      <w:r>
        <w:rPr/>
        <w:br w:type="column"/>
      </w:r>
      <w:r>
        <w:rPr/>
        <w:t>Even with optimal mental health and social care services and effective pre-arrest diversion programmes in place, some individuals with complex needs will nevertheless be arrested. This intercept focuses on efforts to interrupt the standard prosecution process after the person has been arrested but before he/she proceeds to trial or enters a plea. It includes efforts to divert vulnerable individuals from formal prosecution pathways (for low level offences) as well as decision-making on initial release/detention and conditions of release pending trial for those arrested. The aim is to avoid pre-trial detention as well as reduce the likelihood of subsequent conviction and incarceration.</w:t>
      </w:r>
    </w:p>
    <w:p>
      <w:pPr>
        <w:pStyle w:val="BodyText"/>
        <w:spacing w:before="1"/>
        <w:rPr>
          <w:sz w:val="21"/>
        </w:rPr>
      </w:pPr>
    </w:p>
    <w:p>
      <w:pPr>
        <w:pStyle w:val="BodyText"/>
        <w:spacing w:line="237" w:lineRule="auto"/>
        <w:ind w:left="256" w:right="439"/>
      </w:pPr>
      <w:r>
        <w:rPr/>
        <w:t>Intercept 3 occurs after the initial hearing, and involves jails/prisons, courts and forensic evaluations. </w:t>
      </w:r>
      <w:r>
        <w:rPr>
          <w:i/>
          <w:sz w:val="23"/>
        </w:rPr>
        <w:t>At the court level</w:t>
      </w:r>
      <w:r>
        <w:rPr/>
        <w:t>, initiatives often take the form of alternative judicial procedures, such as problem-solving/treatment courts (e.g. drug or mental health courts). Speciality court diversion interventions are characterised by screening, assessment, and negotiation between court and staff to decide on diversionary alternatives. </w:t>
      </w:r>
      <w:r>
        <w:rPr>
          <w:i/>
          <w:sz w:val="23"/>
        </w:rPr>
        <w:t>Once an individual has been incarcerated</w:t>
      </w:r>
      <w:r>
        <w:rPr/>
        <w:t>, the focus of Intercept 3 turns to the provision of prison-based health and social care. Common strategies involve screening and assessment of prisoner needs and linkages with in-house and community-based treatment and service options.</w:t>
      </w:r>
    </w:p>
    <w:p>
      <w:pPr>
        <w:spacing w:after="0" w:line="237" w:lineRule="auto"/>
        <w:sectPr>
          <w:type w:val="continuous"/>
          <w:pgSz w:w="16840" w:h="11910" w:orient="landscape"/>
          <w:pgMar w:top="1580" w:bottom="280" w:left="840" w:right="820"/>
          <w:cols w:num="2" w:equalWidth="0">
            <w:col w:w="2227" w:space="348"/>
            <w:col w:w="12605"/>
          </w:cols>
        </w:sectPr>
      </w:pPr>
    </w:p>
    <w:p>
      <w:pPr>
        <w:pStyle w:val="BodyText"/>
        <w:rPr>
          <w:sz w:val="20"/>
        </w:rPr>
      </w:pPr>
    </w:p>
    <w:p>
      <w:pPr>
        <w:pStyle w:val="BodyText"/>
        <w:spacing w:before="9"/>
        <w:rPr>
          <w:sz w:val="17"/>
        </w:rPr>
      </w:pPr>
    </w:p>
    <w:p>
      <w:pPr>
        <w:spacing w:after="0"/>
        <w:rPr>
          <w:sz w:val="17"/>
        </w:rPr>
        <w:sectPr>
          <w:type w:val="continuous"/>
          <w:pgSz w:w="16840" w:h="11910" w:orient="landscape"/>
          <w:pgMar w:top="1580" w:bottom="280" w:left="840" w:right="820"/>
        </w:sectPr>
      </w:pPr>
    </w:p>
    <w:p>
      <w:pPr>
        <w:pStyle w:val="BodyText"/>
        <w:spacing w:before="3"/>
        <w:rPr>
          <w:sz w:val="25"/>
        </w:rPr>
      </w:pPr>
    </w:p>
    <w:p>
      <w:pPr>
        <w:pStyle w:val="Heading2"/>
        <w:spacing w:line="300" w:lineRule="auto" w:before="1"/>
        <w:ind w:left="736" w:right="38" w:hanging="140"/>
      </w:pPr>
      <w:r>
        <w:rPr/>
        <w:pict>
          <v:shape style="position:absolute;margin-left:799.919983pt;margin-top:127.569984pt;width:6.05pt;height:13.35pt;mso-position-horizontal-relative:page;mso-position-vertical-relative:paragraph;z-index:-252323840" type="#_x0000_t202" filled="false" stroked="false">
            <v:textbox inset="0,0,0,0">
              <w:txbxContent>
                <w:p>
                  <w:pPr>
                    <w:pStyle w:val="BodyText"/>
                    <w:spacing w:before="1"/>
                  </w:pPr>
                  <w:r>
                    <w:rPr>
                      <w:w w:val="100"/>
                    </w:rPr>
                    <w:t>8</w:t>
                  </w:r>
                </w:p>
              </w:txbxContent>
            </v:textbox>
            <w10:wrap type="none"/>
          </v:shape>
        </w:pict>
      </w:r>
      <w:r>
        <w:rPr>
          <w:color w:val="FFFFFF"/>
        </w:rPr>
        <w:t>Intercept 4 Re-entry</w:t>
      </w:r>
    </w:p>
    <w:p>
      <w:pPr>
        <w:pStyle w:val="BodyText"/>
        <w:spacing w:line="237" w:lineRule="auto" w:before="103"/>
        <w:ind w:left="597" w:right="74"/>
      </w:pPr>
      <w:r>
        <w:rPr/>
        <w:br w:type="column"/>
      </w:r>
      <w:r>
        <w:rPr/>
        <w:t>This intercept is focused on reintegration and rehabilitation, recognising that nearly everyone in prison will be released at some</w:t>
      </w:r>
      <w:r>
        <w:rPr>
          <w:spacing w:val="-9"/>
        </w:rPr>
        <w:t> </w:t>
      </w:r>
      <w:r>
        <w:rPr/>
        <w:t>point.</w:t>
      </w:r>
      <w:r>
        <w:rPr>
          <w:spacing w:val="-13"/>
        </w:rPr>
        <w:t> </w:t>
      </w:r>
      <w:r>
        <w:rPr/>
        <w:t>Re-entry</w:t>
      </w:r>
      <w:r>
        <w:rPr>
          <w:spacing w:val="-6"/>
        </w:rPr>
        <w:t> </w:t>
      </w:r>
      <w:r>
        <w:rPr/>
        <w:t>is</w:t>
      </w:r>
      <w:r>
        <w:rPr>
          <w:spacing w:val="-8"/>
        </w:rPr>
        <w:t> </w:t>
      </w:r>
      <w:r>
        <w:rPr/>
        <w:t>recognised</w:t>
      </w:r>
      <w:r>
        <w:rPr>
          <w:spacing w:val="-6"/>
        </w:rPr>
        <w:t> </w:t>
      </w:r>
      <w:r>
        <w:rPr/>
        <w:t>as</w:t>
      </w:r>
      <w:r>
        <w:rPr>
          <w:spacing w:val="-7"/>
        </w:rPr>
        <w:t> </w:t>
      </w:r>
      <w:r>
        <w:rPr/>
        <w:t>a</w:t>
      </w:r>
      <w:r>
        <w:rPr>
          <w:spacing w:val="-7"/>
        </w:rPr>
        <w:t> </w:t>
      </w:r>
      <w:r>
        <w:rPr/>
        <w:t>critical</w:t>
      </w:r>
      <w:r>
        <w:rPr>
          <w:spacing w:val="-7"/>
        </w:rPr>
        <w:t> </w:t>
      </w:r>
      <w:r>
        <w:rPr/>
        <w:t>transition</w:t>
      </w:r>
      <w:r>
        <w:rPr>
          <w:spacing w:val="-8"/>
        </w:rPr>
        <w:t> </w:t>
      </w:r>
      <w:r>
        <w:rPr/>
        <w:t>which</w:t>
      </w:r>
      <w:r>
        <w:rPr>
          <w:spacing w:val="-7"/>
        </w:rPr>
        <w:t> </w:t>
      </w:r>
      <w:r>
        <w:rPr/>
        <w:t>addresses</w:t>
      </w:r>
      <w:r>
        <w:rPr>
          <w:spacing w:val="-9"/>
        </w:rPr>
        <w:t> </w:t>
      </w:r>
      <w:r>
        <w:rPr>
          <w:i/>
          <w:sz w:val="23"/>
        </w:rPr>
        <w:t>the</w:t>
      </w:r>
      <w:r>
        <w:rPr>
          <w:i/>
          <w:spacing w:val="-11"/>
          <w:sz w:val="23"/>
        </w:rPr>
        <w:t> </w:t>
      </w:r>
      <w:r>
        <w:rPr>
          <w:i/>
          <w:sz w:val="23"/>
        </w:rPr>
        <w:t>continuity</w:t>
      </w:r>
      <w:r>
        <w:rPr>
          <w:i/>
          <w:spacing w:val="-12"/>
          <w:sz w:val="23"/>
        </w:rPr>
        <w:t> </w:t>
      </w:r>
      <w:r>
        <w:rPr>
          <w:i/>
          <w:sz w:val="23"/>
        </w:rPr>
        <w:t>of</w:t>
      </w:r>
      <w:r>
        <w:rPr>
          <w:i/>
          <w:spacing w:val="-11"/>
          <w:sz w:val="23"/>
        </w:rPr>
        <w:t> </w:t>
      </w:r>
      <w:r>
        <w:rPr>
          <w:i/>
          <w:sz w:val="23"/>
        </w:rPr>
        <w:t>care</w:t>
      </w:r>
      <w:r>
        <w:rPr>
          <w:i/>
          <w:spacing w:val="-11"/>
          <w:sz w:val="23"/>
        </w:rPr>
        <w:t> </w:t>
      </w:r>
      <w:r>
        <w:rPr/>
        <w:t>between</w:t>
      </w:r>
      <w:r>
        <w:rPr>
          <w:spacing w:val="-7"/>
        </w:rPr>
        <w:t> </w:t>
      </w:r>
      <w:r>
        <w:rPr/>
        <w:t>prison</w:t>
      </w:r>
      <w:r>
        <w:rPr>
          <w:spacing w:val="-7"/>
        </w:rPr>
        <w:t> </w:t>
      </w:r>
      <w:r>
        <w:rPr/>
        <w:t>facilities</w:t>
      </w:r>
      <w:r>
        <w:rPr>
          <w:spacing w:val="-8"/>
        </w:rPr>
        <w:t> </w:t>
      </w:r>
      <w:r>
        <w:rPr/>
        <w:t>and community service providers. The aim is to facilitate successful transition from an institutional setting to community-based treatment and services.</w:t>
      </w:r>
    </w:p>
    <w:p>
      <w:pPr>
        <w:spacing w:after="0" w:line="237" w:lineRule="auto"/>
        <w:sectPr>
          <w:type w:val="continuous"/>
          <w:pgSz w:w="16840" w:h="11910" w:orient="landscape"/>
          <w:pgMar w:top="1580" w:bottom="280" w:left="840" w:right="820"/>
          <w:cols w:num="2" w:equalWidth="0">
            <w:col w:w="1885" w:space="349"/>
            <w:col w:w="12946"/>
          </w:cols>
        </w:sectPr>
      </w:pPr>
    </w:p>
    <w:p>
      <w:pPr>
        <w:pStyle w:val="BodyText"/>
        <w:rPr>
          <w:sz w:val="20"/>
        </w:rPr>
      </w:pPr>
    </w:p>
    <w:p>
      <w:pPr>
        <w:pStyle w:val="BodyText"/>
        <w:rPr>
          <w:sz w:val="20"/>
        </w:rPr>
      </w:pPr>
    </w:p>
    <w:p>
      <w:pPr>
        <w:pStyle w:val="BodyText"/>
        <w:spacing w:before="1"/>
        <w:rPr>
          <w:sz w:val="15"/>
        </w:rPr>
      </w:pPr>
    </w:p>
    <w:p>
      <w:pPr>
        <w:spacing w:after="0"/>
        <w:rPr>
          <w:sz w:val="15"/>
        </w:rPr>
        <w:sectPr>
          <w:type w:val="continuous"/>
          <w:pgSz w:w="16840" w:h="11910" w:orient="landscape"/>
          <w:pgMar w:top="1580" w:bottom="280" w:left="840" w:right="820"/>
        </w:sectPr>
      </w:pPr>
    </w:p>
    <w:p>
      <w:pPr>
        <w:pStyle w:val="Heading2"/>
        <w:spacing w:before="101"/>
        <w:ind w:left="580" w:right="254"/>
        <w:jc w:val="center"/>
      </w:pPr>
      <w:r>
        <w:rPr/>
        <w:pict>
          <v:group style="position:absolute;margin-left:33.899899pt;margin-top:17.399807pt;width:773.55pt;height:369.8pt;mso-position-horizontal-relative:page;mso-position-vertical-relative:page;z-index:-252322816" coordorigin="678,348" coordsize="15471,7396">
            <v:shape style="position:absolute;left:3230;top:420;width:12909;height:1699" coordorigin="3230,420" coordsize="12909,1699" path="m15552,420l3230,420,3230,2119,15552,2119,15648,2115,15738,2105,15822,2087,15899,2064,15967,2036,16026,2003,16074,1966,16131,1882,16139,1836,16139,703,16109,614,16026,536,15967,503,15899,475,15822,452,15738,434,15648,424,15552,420xe" filled="true" fillcolor="#d4e2cf" stroked="false">
              <v:path arrowok="t"/>
              <v:fill opacity="59110f" type="solid"/>
            </v:shape>
            <v:shape style="position:absolute;left:3230;top:420;width:12909;height:1699" coordorigin="3230,420" coordsize="12909,1699" path="m16139,703l16139,1836,16131,1882,16074,1966,16026,2003,15967,2036,15899,2064,15822,2087,15738,2105,15648,2115,15552,2119,3230,2119,3230,420,15552,420,15648,424,15738,434,15822,452,15899,475,15967,503,16026,536,16074,573,16131,657,16139,703xe" filled="false" stroked="true" strokeweight="1pt" strokecolor="#d4e2cf">
              <v:path arrowok="t"/>
              <v:stroke dashstyle="solid"/>
            </v:shape>
            <v:shape style="position:absolute;left:688;top:358;width:2752;height:1805" coordorigin="688,358" coordsize="2752,1805" path="m2987,358l1141,358,1050,364,965,382,888,409,821,446,765,491,724,542,697,598,688,659,688,1862,697,1923,724,1979,765,2030,821,2075,888,2112,965,2139,1050,2157,1141,2163,2987,2163,3078,2157,3163,2139,3240,2112,3307,2075,3363,2030,3404,1979,3431,1923,3440,1862,3440,659,3431,598,3404,542,3363,491,3307,446,3240,409,3163,382,3078,364,2987,358xe" filled="true" fillcolor="#6fac46" stroked="false">
              <v:path arrowok="t"/>
              <v:fill type="solid"/>
            </v:shape>
            <v:shape style="position:absolute;left:688;top:358;width:2752;height:1805" coordorigin="688,358" coordsize="2752,1805" path="m688,659l697,598,724,542,765,491,821,446,888,409,965,382,1050,364,1141,358,2987,358,3078,364,3163,382,3240,409,3307,446,3363,491,3404,542,3431,598,3440,659,3440,1862,3431,1923,3404,1979,3363,2030,3307,2075,3240,2112,3163,2139,3078,2157,2987,2163,1141,2163,1050,2157,965,2139,888,2112,821,2075,765,2030,724,1979,697,1923,688,1862,688,659xe" filled="false" stroked="true" strokeweight="1pt" strokecolor="#ffffff">
              <v:path arrowok="t"/>
              <v:stroke dashstyle="solid"/>
            </v:shape>
            <v:shape style="position:absolute;left:3230;top:2273;width:12909;height:1699" coordorigin="3230,2273" coordsize="12909,1699" path="m15552,2273l3230,2273,3230,3972,15552,3972,15648,3968,15738,3958,15822,3940,15899,3917,15967,3889,16026,3856,16074,3819,16131,3735,16139,3689,16139,2556,16109,2467,16026,2389,15967,2356,15899,2328,15822,2305,15738,2287,15648,2277,15552,2273xe" filled="true" fillcolor="#d4e2cf" stroked="false">
              <v:path arrowok="t"/>
              <v:fill opacity="59110f" type="solid"/>
            </v:shape>
            <v:shape style="position:absolute;left:3230;top:2273;width:12909;height:1699" coordorigin="3230,2273" coordsize="12909,1699" path="m16139,2556l16139,3689,16131,3735,16074,3819,16026,3856,15967,3889,15899,3917,15822,3940,15738,3958,15648,3968,15552,3972,3230,3972,3230,2273,15552,2273,15648,2277,15738,2287,15822,2305,15899,2328,15967,2356,16026,2389,16074,2426,16131,2510,16139,2556xe" filled="false" stroked="true" strokeweight="1pt" strokecolor="#d4e2cf">
              <v:path arrowok="t"/>
              <v:stroke dashstyle="solid"/>
            </v:shape>
            <v:shape style="position:absolute;left:688;top:2210;width:2749;height:1805" coordorigin="688,2210" coordsize="2749,1805" path="m2984,2210l1141,2210,1050,2216,965,2234,888,2261,821,2298,765,2343,724,2394,697,2450,688,2511,688,3714,697,3775,724,3831,765,3882,821,3927,888,3964,965,3991,1050,4009,1141,4015,2984,4015,3075,4009,3160,3991,3237,3964,3304,3927,3360,3882,3401,3831,3428,3775,3437,3714,3437,2511,3428,2450,3401,2394,3360,2343,3304,2298,3237,2261,3160,2234,3075,2216,2984,2210xe" filled="true" fillcolor="#6fac46" stroked="false">
              <v:path arrowok="t"/>
              <v:fill type="solid"/>
            </v:shape>
            <v:shape style="position:absolute;left:688;top:2210;width:2749;height:1805" coordorigin="688,2210" coordsize="2749,1805" path="m688,2511l697,2450,724,2394,765,2343,821,2298,888,2261,965,2234,1050,2216,1141,2210,2984,2210,3075,2216,3160,2234,3237,2261,3304,2298,3360,2343,3401,2394,3428,2450,3437,2511,3437,3714,3428,3775,3401,3831,3360,3882,3304,3927,3237,3964,3160,3991,3075,4009,2984,4015,1141,4015,1050,4009,965,3991,888,3964,821,3927,765,3882,724,3831,697,3775,688,3714,688,2511xe" filled="false" stroked="true" strokeweight="1pt" strokecolor="#ffffff">
              <v:path arrowok="t"/>
              <v:stroke dashstyle="solid"/>
            </v:shape>
            <v:shape style="position:absolute;left:3230;top:4163;width:12909;height:1699" coordorigin="3230,4163" coordsize="12909,1699" path="m15552,4163l3230,4163,3230,5862,15552,5862,15648,5858,15738,5848,15822,5830,15899,5807,15967,5779,16026,5746,16074,5709,16131,5625,16139,5579,16139,4446,16109,4357,16026,4279,15967,4246,15899,4218,15822,4195,15738,4177,15648,4167,15552,4163xe" filled="true" fillcolor="#d4e2cf" stroked="false">
              <v:path arrowok="t"/>
              <v:fill opacity="59110f" type="solid"/>
            </v:shape>
            <v:shape style="position:absolute;left:3230;top:4163;width:12909;height:1699" coordorigin="3230,4163" coordsize="12909,1699" path="m16139,4446l16139,5579,16131,5625,16074,5709,16026,5746,15967,5779,15899,5807,15822,5830,15738,5848,15648,5858,15552,5862,3230,5862,3230,4163,15552,4163,15648,4167,15738,4177,15822,4195,15899,4218,15967,4246,16026,4279,16074,4316,16131,4400,16139,4446xe" filled="false" stroked="true" strokeweight="1pt" strokecolor="#d4e2cf">
              <v:path arrowok="t"/>
              <v:stroke dashstyle="solid"/>
            </v:shape>
            <v:shape style="position:absolute;left:688;top:4076;width:2749;height:1805" coordorigin="688,4076" coordsize="2749,1805" path="m2984,4076l1141,4076,1050,4082,965,4100,888,4127,821,4164,765,4209,724,4260,697,4316,688,4377,688,5580,697,5641,724,5697,765,5748,821,5793,888,5830,965,5857,1050,5875,1141,5881,2984,5881,3075,5875,3160,5857,3237,5830,3304,5793,3360,5748,3401,5697,3428,5641,3437,5580,3437,4377,3428,4316,3401,4260,3360,4209,3304,4164,3237,4127,3160,4100,3075,4082,2984,4076xe" filled="true" fillcolor="#6fac46" stroked="false">
              <v:path arrowok="t"/>
              <v:fill type="solid"/>
            </v:shape>
            <v:shape style="position:absolute;left:688;top:4076;width:2749;height:1805" coordorigin="688,4076" coordsize="2749,1805" path="m688,4377l697,4316,724,4260,765,4209,821,4164,888,4127,965,4100,1050,4082,1141,4076,2984,4076,3075,4082,3160,4100,3237,4127,3304,4164,3360,4209,3401,4260,3428,4316,3437,4377,3437,5580,3428,5641,3401,5697,3360,5748,3304,5793,3237,5830,3160,5857,3075,5875,2984,5881,1141,5881,1050,5875,965,5857,888,5830,821,5793,765,5748,724,5697,697,5641,688,5580,688,4377xe" filled="false" stroked="true" strokeweight="1pt" strokecolor="#ffffff">
              <v:path arrowok="t"/>
              <v:stroke dashstyle="solid"/>
            </v:shape>
            <v:shape style="position:absolute;left:3230;top:6017;width:12909;height:1699" coordorigin="3230,6017" coordsize="12909,1699" path="m15552,6017l3230,6017,3230,7716,15552,7716,15648,7712,15738,7702,15822,7684,15899,7661,15967,7633,16026,7600,16074,7563,16131,7479,16139,7433,16139,6300,16109,6211,16026,6133,15967,6100,15899,6072,15822,6049,15738,6031,15648,6021,15552,6017xe" filled="true" fillcolor="#d4e2cf" stroked="false">
              <v:path arrowok="t"/>
              <v:fill opacity="59110f" type="solid"/>
            </v:shape>
            <v:shape style="position:absolute;left:3230;top:6017;width:12909;height:1699" coordorigin="3230,6017" coordsize="12909,1699" path="m16139,6300l16139,7433,16131,7479,16074,7563,16026,7600,15967,7633,15899,7661,15822,7684,15738,7702,15648,7712,15552,7716,3230,7716,3230,6017,15552,6017,15648,6021,15738,6031,15822,6049,15899,6072,15967,6100,16026,6133,16074,6170,16131,6254,16139,6300xe" filled="false" stroked="true" strokeweight="1pt" strokecolor="#d4e2cf">
              <v:path arrowok="t"/>
              <v:stroke dashstyle="solid"/>
            </v:shape>
            <v:shape style="position:absolute;left:688;top:5929;width:2749;height:1805" coordorigin="688,5929" coordsize="2749,1805" path="m2984,5929l1141,5929,1050,5935,965,5953,888,5980,821,6017,765,6062,724,6113,697,6169,688,6230,688,7433,697,7494,724,7550,765,7601,821,7646,888,7683,965,7710,1050,7728,1141,7734,2984,7734,3075,7728,3160,7710,3237,7683,3304,7646,3360,7601,3401,7550,3428,7494,3437,7433,3437,6230,3428,6169,3401,6113,3360,6062,3304,6017,3237,5980,3160,5953,3075,5935,2984,5929xe" filled="true" fillcolor="#6fac46" stroked="false">
              <v:path arrowok="t"/>
              <v:fill type="solid"/>
            </v:shape>
            <v:shape style="position:absolute;left:688;top:5929;width:2749;height:1805" coordorigin="688,5929" coordsize="2749,1805" path="m688,6230l697,6169,724,6113,765,6062,821,6017,888,5980,965,5953,1050,5935,1141,5929,2984,5929,3075,5935,3160,5953,3237,5980,3304,6017,3360,6062,3401,6113,3428,6169,3437,6230,3437,7433,3428,7494,3401,7550,3360,7601,3304,7646,3237,7683,3160,7710,3075,7728,2984,7734,1141,7734,1050,7728,965,7710,888,7683,821,7646,765,7601,724,7550,697,7494,688,7433,688,6230xe" filled="false" stroked="true" strokeweight="1pt" strokecolor="#ffffff">
              <v:path arrowok="t"/>
              <v:stroke dashstyle="solid"/>
            </v:shape>
            <w10:wrap type="none"/>
          </v:group>
        </w:pict>
      </w:r>
      <w:r>
        <w:rPr/>
        <w:pict>
          <v:group style="position:absolute;margin-left:33.899899pt;margin-top:391.100006pt;width:781.6pt;height:185.3pt;mso-position-horizontal-relative:page;mso-position-vertical-relative:page;z-index:-252321792" coordorigin="678,7822" coordsize="15632,3706">
            <v:shape style="position:absolute;left:3230;top:7919;width:12909;height:1699" coordorigin="3230,7919" coordsize="12909,1699" path="m15552,7919l3230,7919,3230,9618,15552,9618,15648,9614,15738,9604,15822,9586,15899,9563,15967,9535,16026,9502,16074,9465,16131,9381,16139,9335,16139,8202,16109,8113,16026,8035,15967,8002,15899,7974,15822,7951,15738,7933,15648,7923,15552,7919xe" filled="true" fillcolor="#d4e2cf" stroked="false">
              <v:path arrowok="t"/>
              <v:fill opacity="59110f" type="solid"/>
            </v:shape>
            <v:shape style="position:absolute;left:3230;top:7919;width:12909;height:1699" coordorigin="3230,7919" coordsize="12909,1699" path="m16139,8202l16139,9335,16131,9381,16074,9465,16026,9502,15967,9535,15899,9563,15822,9586,15738,9604,15648,9614,15552,9618,3230,9618,3230,7919,15552,7919,15648,7923,15738,7933,15822,7951,15899,7974,15967,8002,16026,8035,16074,8072,16131,8156,16139,8202xe" filled="false" stroked="true" strokeweight="1pt" strokecolor="#d4e2cf">
              <v:path arrowok="t"/>
              <v:stroke dashstyle="solid"/>
            </v:shape>
            <v:shape style="position:absolute;left:688;top:7832;width:2749;height:1805" coordorigin="688,7832" coordsize="2749,1805" path="m2984,7832l1141,7832,1050,7838,965,7856,888,7883,821,7920,765,7965,724,8016,697,8072,688,8133,688,9336,697,9397,724,9453,765,9504,821,9549,888,9586,965,9613,1050,9631,1141,9637,2984,9637,3075,9631,3160,9613,3237,9586,3304,9549,3360,9504,3401,9453,3428,9397,3437,9336,3437,8133,3428,8072,3401,8016,3360,7965,3304,7920,3237,7883,3160,7856,3075,7838,2984,7832xe" filled="true" fillcolor="#6fac46" stroked="false">
              <v:path arrowok="t"/>
              <v:fill type="solid"/>
            </v:shape>
            <v:shape style="position:absolute;left:688;top:7832;width:2749;height:1805" coordorigin="688,7832" coordsize="2749,1805" path="m688,8133l697,8072,724,8016,765,7965,821,7920,888,7883,965,7856,1050,7838,1141,7832,2984,7832,3075,7838,3160,7856,3237,7883,3304,7920,3360,7965,3401,8016,3428,8072,3437,8133,3437,9336,3428,9397,3401,9453,3360,9504,3304,9549,3237,9586,3160,9613,3075,9631,2984,9637,1141,9637,1050,9631,965,9613,888,9586,821,9549,765,9504,724,9453,697,9397,688,9336,688,8133xe" filled="false" stroked="true" strokeweight="1pt" strokecolor="#ffffff">
              <v:path arrowok="t"/>
              <v:stroke dashstyle="solid"/>
            </v:shape>
            <v:rect style="position:absolute;left:15910;top:10880;width:400;height:530" filled="true" fillcolor="#ffffff" stroked="false">
              <v:fill type="solid"/>
            </v:rect>
            <v:shape style="position:absolute;left:3230;top:9819;width:12909;height:1699" coordorigin="3230,9819" coordsize="12909,1699" path="m15552,9819l3230,9819,3230,11518,15552,11518,15648,11514,15738,11504,15822,11486,15899,11463,15967,11435,16026,11402,16074,11365,16131,11281,16139,11235,16139,10102,16109,10013,16026,9935,15967,9902,15899,9874,15822,9851,15738,9833,15648,9823,15552,9819xe" filled="true" fillcolor="#d4e2cf" stroked="false">
              <v:path arrowok="t"/>
              <v:fill opacity="59110f" type="solid"/>
            </v:shape>
            <v:shape style="position:absolute;left:3230;top:9819;width:12909;height:1699" coordorigin="3230,9819" coordsize="12909,1699" path="m16139,10102l16139,11235,16131,11281,16074,11365,16026,11402,15967,11435,15899,11463,15822,11486,15738,11504,15648,11514,15552,11518,3230,11518,3230,9819,15552,9819,15648,9823,15738,9833,15822,9851,15899,9874,15967,9902,16026,9935,16074,9972,16131,10056,16139,10102xe" filled="false" stroked="true" strokeweight="1pt" strokecolor="#d4e2cf">
              <v:path arrowok="t"/>
              <v:stroke dashstyle="solid"/>
            </v:shape>
            <v:shape style="position:absolute;left:688;top:9698;width:2749;height:1805" coordorigin="688,9698" coordsize="2749,1805" path="m2984,9698l1141,9698,1050,9704,965,9722,888,9749,821,9786,765,9831,724,9882,697,9938,688,9999,688,11202,697,11263,724,11319,765,11370,821,11415,888,11452,965,11479,1050,11497,1141,11503,2984,11503,3075,11497,3160,11479,3237,11452,3304,11415,3360,11370,3401,11319,3428,11263,3437,11202,3437,9999,3428,9938,3401,9882,3360,9831,3304,9786,3237,9749,3160,9722,3075,9704,2984,9698xe" filled="true" fillcolor="#6fac46" stroked="false">
              <v:path arrowok="t"/>
              <v:fill type="solid"/>
            </v:shape>
            <v:shape style="position:absolute;left:688;top:9698;width:2749;height:1805" coordorigin="688,9698" coordsize="2749,1805" path="m688,9999l697,9938,724,9882,765,9831,821,9786,888,9749,965,9722,1050,9704,1141,9698,2984,9698,3075,9704,3160,9722,3237,9749,3304,9786,3360,9831,3401,9882,3428,9938,3437,9999,3437,11202,3428,11263,3401,11319,3360,11370,3304,11415,3237,11452,3160,11479,3075,11497,2984,11503,1141,11503,1050,11497,965,11479,888,11452,821,11415,765,11370,724,11319,697,11263,688,11202,688,9999xe" filled="false" stroked="true" strokeweight="1pt" strokecolor="#ffffff">
              <v:path arrowok="t"/>
              <v:stroke dashstyle="solid"/>
            </v:shape>
            <w10:wrap type="none"/>
          </v:group>
        </w:pict>
      </w:r>
      <w:r>
        <w:rPr>
          <w:color w:val="FFFFFF"/>
        </w:rPr>
        <w:t>Intercept 5</w:t>
      </w:r>
    </w:p>
    <w:p>
      <w:pPr>
        <w:spacing w:line="216" w:lineRule="auto" w:before="88"/>
        <w:ind w:left="364" w:right="38" w:firstLine="2"/>
        <w:jc w:val="center"/>
        <w:rPr>
          <w:b/>
          <w:sz w:val="22"/>
        </w:rPr>
      </w:pPr>
      <w:r>
        <w:rPr>
          <w:b/>
          <w:color w:val="FFFFFF"/>
          <w:sz w:val="22"/>
        </w:rPr>
        <w:t>Community corrections and supports</w:t>
      </w:r>
    </w:p>
    <w:p>
      <w:pPr>
        <w:pStyle w:val="BodyText"/>
        <w:spacing w:before="1"/>
        <w:rPr>
          <w:b/>
          <w:sz w:val="25"/>
        </w:rPr>
      </w:pPr>
      <w:r>
        <w:rPr/>
        <w:br w:type="column"/>
      </w:r>
      <w:r>
        <w:rPr>
          <w:b/>
          <w:sz w:val="25"/>
        </w:rPr>
      </w:r>
    </w:p>
    <w:p>
      <w:pPr>
        <w:pStyle w:val="BodyText"/>
        <w:ind w:left="364" w:right="173"/>
        <w:jc w:val="both"/>
      </w:pPr>
      <w:r>
        <w:rPr/>
        <w:t>This</w:t>
      </w:r>
      <w:r>
        <w:rPr>
          <w:spacing w:val="-10"/>
        </w:rPr>
        <w:t> </w:t>
      </w:r>
      <w:r>
        <w:rPr/>
        <w:t>final</w:t>
      </w:r>
      <w:r>
        <w:rPr>
          <w:spacing w:val="-10"/>
        </w:rPr>
        <w:t> </w:t>
      </w:r>
      <w:r>
        <w:rPr/>
        <w:t>intercept</w:t>
      </w:r>
      <w:r>
        <w:rPr>
          <w:spacing w:val="-9"/>
        </w:rPr>
        <w:t> </w:t>
      </w:r>
      <w:r>
        <w:rPr/>
        <w:t>focuses</w:t>
      </w:r>
      <w:r>
        <w:rPr>
          <w:spacing w:val="-10"/>
        </w:rPr>
        <w:t> </w:t>
      </w:r>
      <w:r>
        <w:rPr/>
        <w:t>on</w:t>
      </w:r>
      <w:r>
        <w:rPr>
          <w:spacing w:val="-10"/>
        </w:rPr>
        <w:t> </w:t>
      </w:r>
      <w:r>
        <w:rPr/>
        <w:t>justice-involved</w:t>
      </w:r>
      <w:r>
        <w:rPr>
          <w:spacing w:val="-12"/>
        </w:rPr>
        <w:t> </w:t>
      </w:r>
      <w:r>
        <w:rPr/>
        <w:t>persons</w:t>
      </w:r>
      <w:r>
        <w:rPr>
          <w:spacing w:val="-10"/>
        </w:rPr>
        <w:t> </w:t>
      </w:r>
      <w:r>
        <w:rPr/>
        <w:t>supervised</w:t>
      </w:r>
      <w:r>
        <w:rPr>
          <w:spacing w:val="-9"/>
        </w:rPr>
        <w:t> </w:t>
      </w:r>
      <w:r>
        <w:rPr/>
        <w:t>in</w:t>
      </w:r>
      <w:r>
        <w:rPr>
          <w:spacing w:val="-13"/>
        </w:rPr>
        <w:t> </w:t>
      </w:r>
      <w:r>
        <w:rPr/>
        <w:t>the</w:t>
      </w:r>
      <w:r>
        <w:rPr>
          <w:spacing w:val="-11"/>
        </w:rPr>
        <w:t> </w:t>
      </w:r>
      <w:r>
        <w:rPr/>
        <w:t>community</w:t>
      </w:r>
      <w:r>
        <w:rPr>
          <w:spacing w:val="-9"/>
        </w:rPr>
        <w:t> </w:t>
      </w:r>
      <w:r>
        <w:rPr/>
        <w:t>and</w:t>
      </w:r>
      <w:r>
        <w:rPr>
          <w:spacing w:val="-9"/>
        </w:rPr>
        <w:t> </w:t>
      </w:r>
      <w:r>
        <w:rPr/>
        <w:t>involved</w:t>
      </w:r>
      <w:r>
        <w:rPr>
          <w:spacing w:val="-14"/>
        </w:rPr>
        <w:t> </w:t>
      </w:r>
      <w:r>
        <w:rPr/>
        <w:t>with</w:t>
      </w:r>
      <w:r>
        <w:rPr>
          <w:spacing w:val="-10"/>
        </w:rPr>
        <w:t> </w:t>
      </w:r>
      <w:r>
        <w:rPr/>
        <w:t>community</w:t>
      </w:r>
      <w:r>
        <w:rPr>
          <w:spacing w:val="-9"/>
        </w:rPr>
        <w:t> </w:t>
      </w:r>
      <w:r>
        <w:rPr/>
        <w:t>corrections. Probation</w:t>
      </w:r>
      <w:r>
        <w:rPr>
          <w:spacing w:val="-23"/>
        </w:rPr>
        <w:t> </w:t>
      </w:r>
      <w:r>
        <w:rPr/>
        <w:t>and</w:t>
      </w:r>
      <w:r>
        <w:rPr>
          <w:spacing w:val="-19"/>
        </w:rPr>
        <w:t> </w:t>
      </w:r>
      <w:r>
        <w:rPr/>
        <w:t>parole</w:t>
      </w:r>
      <w:r>
        <w:rPr>
          <w:spacing w:val="-19"/>
        </w:rPr>
        <w:t> </w:t>
      </w:r>
      <w:r>
        <w:rPr/>
        <w:t>interventions</w:t>
      </w:r>
      <w:r>
        <w:rPr>
          <w:spacing w:val="-20"/>
        </w:rPr>
        <w:t> </w:t>
      </w:r>
      <w:r>
        <w:rPr/>
        <w:t>are</w:t>
      </w:r>
      <w:r>
        <w:rPr>
          <w:spacing w:val="-19"/>
        </w:rPr>
        <w:t> </w:t>
      </w:r>
      <w:r>
        <w:rPr/>
        <w:t>designed</w:t>
      </w:r>
      <w:r>
        <w:rPr>
          <w:spacing w:val="-21"/>
        </w:rPr>
        <w:t> </w:t>
      </w:r>
      <w:r>
        <w:rPr/>
        <w:t>to</w:t>
      </w:r>
      <w:r>
        <w:rPr>
          <w:spacing w:val="-21"/>
        </w:rPr>
        <w:t> </w:t>
      </w:r>
      <w:r>
        <w:rPr/>
        <w:t>prevent</w:t>
      </w:r>
      <w:r>
        <w:rPr>
          <w:spacing w:val="-19"/>
        </w:rPr>
        <w:t> </w:t>
      </w:r>
      <w:r>
        <w:rPr/>
        <w:t>deeper</w:t>
      </w:r>
      <w:r>
        <w:rPr>
          <w:spacing w:val="-20"/>
        </w:rPr>
        <w:t> </w:t>
      </w:r>
      <w:r>
        <w:rPr/>
        <w:t>CJS</w:t>
      </w:r>
      <w:r>
        <w:rPr>
          <w:spacing w:val="-19"/>
        </w:rPr>
        <w:t> </w:t>
      </w:r>
      <w:r>
        <w:rPr/>
        <w:t>involvement</w:t>
      </w:r>
      <w:r>
        <w:rPr>
          <w:spacing w:val="-19"/>
        </w:rPr>
        <w:t> </w:t>
      </w:r>
      <w:r>
        <w:rPr/>
        <w:t>by</w:t>
      </w:r>
      <w:r>
        <w:rPr>
          <w:spacing w:val="-20"/>
        </w:rPr>
        <w:t> </w:t>
      </w:r>
      <w:r>
        <w:rPr/>
        <w:t>supporting</w:t>
      </w:r>
      <w:r>
        <w:rPr>
          <w:spacing w:val="-19"/>
        </w:rPr>
        <w:t> </w:t>
      </w:r>
      <w:r>
        <w:rPr/>
        <w:t>engagement</w:t>
      </w:r>
      <w:r>
        <w:rPr>
          <w:spacing w:val="-19"/>
        </w:rPr>
        <w:t> </w:t>
      </w:r>
      <w:r>
        <w:rPr/>
        <w:t>with</w:t>
      </w:r>
      <w:r>
        <w:rPr>
          <w:spacing w:val="-19"/>
        </w:rPr>
        <w:t> </w:t>
      </w:r>
      <w:r>
        <w:rPr/>
        <w:t>community services, thus reducing the risk of</w:t>
      </w:r>
      <w:r>
        <w:rPr>
          <w:spacing w:val="1"/>
        </w:rPr>
        <w:t> </w:t>
      </w:r>
      <w:r>
        <w:rPr/>
        <w:t>reoffending.</w:t>
      </w:r>
    </w:p>
    <w:p>
      <w:pPr>
        <w:spacing w:after="0"/>
        <w:jc w:val="both"/>
        <w:sectPr>
          <w:type w:val="continuous"/>
          <w:pgSz w:w="16840" w:h="11910" w:orient="landscape"/>
          <w:pgMar w:top="1580" w:bottom="280" w:left="840" w:right="820"/>
          <w:cols w:num="2" w:equalWidth="0">
            <w:col w:w="2121" w:space="346"/>
            <w:col w:w="12713"/>
          </w:cols>
        </w:sectPr>
      </w:pPr>
    </w:p>
    <w:p>
      <w:pPr>
        <w:pStyle w:val="Heading2"/>
        <w:numPr>
          <w:ilvl w:val="1"/>
          <w:numId w:val="2"/>
        </w:numPr>
        <w:tabs>
          <w:tab w:pos="536" w:val="left" w:leader="none"/>
          <w:tab w:pos="9175" w:val="left" w:leader="none"/>
        </w:tabs>
        <w:spacing w:line="240" w:lineRule="auto" w:before="82" w:after="0"/>
        <w:ind w:left="535" w:right="0" w:hanging="416"/>
        <w:jc w:val="left"/>
      </w:pPr>
      <w:bookmarkStart w:name="2.2 Key messages" w:id="19"/>
      <w:bookmarkEnd w:id="19"/>
      <w:r>
        <w:rPr>
          <w:b w:val="0"/>
        </w:rPr>
      </w:r>
      <w:bookmarkStart w:name="_bookmark6" w:id="20"/>
      <w:bookmarkEnd w:id="20"/>
      <w:r>
        <w:rPr>
          <w:b w:val="0"/>
        </w:rPr>
      </w:r>
      <w:bookmarkStart w:name="_bookmark6" w:id="21"/>
      <w:bookmarkEnd w:id="21"/>
      <w:r>
        <w:rPr>
          <w:color w:val="00776F"/>
          <w:shd w:fill="E7E6E6" w:color="auto" w:val="clear"/>
        </w:rPr>
        <w:t>K</w:t>
      </w:r>
      <w:r>
        <w:rPr>
          <w:color w:val="00776F"/>
          <w:shd w:fill="E7E6E6" w:color="auto" w:val="clear"/>
        </w:rPr>
        <w:t>ey</w:t>
      </w:r>
      <w:r>
        <w:rPr>
          <w:color w:val="00776F"/>
          <w:spacing w:val="-6"/>
          <w:shd w:fill="E7E6E6" w:color="auto" w:val="clear"/>
        </w:rPr>
        <w:t> </w:t>
      </w:r>
      <w:r>
        <w:rPr>
          <w:color w:val="00776F"/>
          <w:shd w:fill="E7E6E6" w:color="auto" w:val="clear"/>
        </w:rPr>
        <w:t>messages</w:t>
        <w:tab/>
      </w:r>
    </w:p>
    <w:p>
      <w:pPr>
        <w:pStyle w:val="BodyText"/>
        <w:spacing w:before="108"/>
        <w:ind w:left="120" w:right="134"/>
      </w:pPr>
      <w:r>
        <w:rPr/>
        <w:t>This section examines the key messages </w:t>
      </w:r>
      <w:r>
        <w:rPr>
          <w:i/>
          <w:sz w:val="23"/>
        </w:rPr>
        <w:t>across all SIM intercepts</w:t>
      </w:r>
      <w:r>
        <w:rPr/>
        <w:t>, including the best practice principles developed by SIM advocates as well as two additional overarching themes identified in the literature reviewed. For further information on practice innovations relating to each of the distinct intercepts, please see the full report (Mooney et al., 2019).</w:t>
      </w:r>
    </w:p>
    <w:p>
      <w:pPr>
        <w:pStyle w:val="BodyText"/>
        <w:spacing w:before="9"/>
        <w:rPr>
          <w:sz w:val="15"/>
        </w:rPr>
      </w:pPr>
      <w:r>
        <w:rPr/>
        <w:pict>
          <v:group style="position:absolute;margin-left:94.528503pt;margin-top:11.476565pt;width:424pt;height:444.5pt;mso-position-horizontal-relative:page;mso-position-vertical-relative:paragraph;z-index:-251641856;mso-wrap-distance-left:0;mso-wrap-distance-right:0" coordorigin="1891,230" coordsize="8480,8890">
            <v:shape style="position:absolute;left:4311;top:3100;width:3637;height:3147" coordorigin="4312,3101" coordsize="3637,3147" path="m7050,3101l5210,3101,4312,4674,5210,6247,7050,6247,7949,4674,7050,3101xe" filled="true" fillcolor="#6fac46" stroked="false">
              <v:path arrowok="t"/>
              <v:fill type="solid"/>
            </v:shape>
            <v:shape style="position:absolute;left:6589;top:1595;width:1373;height:1183" coordorigin="6589,1596" coordsize="1373,1183" path="m7620,1596l6931,1596,6589,2187,6931,2778,7620,2778,7961,2187,7620,1596xe" filled="true" fillcolor="#d4e2cf" stroked="false">
              <v:path arrowok="t"/>
              <v:fill type="solid"/>
            </v:shape>
            <v:shape style="position:absolute;left:4646;top:239;width:2981;height:2579" coordorigin="4647,240" coordsize="2981,2579" path="m6890,240l5383,240,4647,1529,5383,2818,6890,2818,7627,1529,6890,240xe" filled="true" fillcolor="#6fac46" stroked="false">
              <v:path arrowok="t"/>
              <v:fill type="solid"/>
            </v:shape>
            <v:shape style="position:absolute;left:4646;top:239;width:2981;height:2579" coordorigin="4647,240" coordsize="2981,2579" path="m4647,1529l5383,240,6890,240,7627,1529,6890,2818,5383,2818,4647,1529xe" filled="false" stroked="true" strokeweight="1.0pt" strokecolor="#ffffff">
              <v:path arrowok="t"/>
              <v:stroke dashstyle="solid"/>
            </v:shape>
            <v:shape style="position:absolute;left:8190;top:3806;width:1373;height:1183" coordorigin="8190,3806" coordsize="1373,1183" path="m9221,3806l8532,3806,8190,4397,8532,4988,9221,4988,9563,4397,9221,3806xe" filled="true" fillcolor="#d4e2cf" stroked="false">
              <v:path arrowok="t"/>
              <v:fill type="solid"/>
            </v:shape>
            <v:shape style="position:absolute;left:7380;top:1825;width:2981;height:2579" coordorigin="7380,1825" coordsize="2981,2579" path="m9624,1825l8117,1825,7380,3115,8117,4404,9624,4404,10360,3115,9624,1825xe" filled="true" fillcolor="#6fac46" stroked="false">
              <v:path arrowok="t"/>
              <v:fill type="solid"/>
            </v:shape>
            <v:shape style="position:absolute;left:7380;top:1825;width:2981;height:2579" coordorigin="7380,1825" coordsize="2981,2579" path="m7380,3115l8117,1825,9624,1825,10360,3115,9624,4404,8117,4404,7380,3115xe" filled="false" stroked="true" strokeweight="1.0pt" strokecolor="#ffffff">
              <v:path arrowok="t"/>
              <v:stroke dashstyle="solid"/>
            </v:shape>
            <v:shape style="position:absolute;left:7078;top:6301;width:1373;height:1183" coordorigin="7078,6301" coordsize="1373,1183" path="m8109,6301l7420,6301,7078,6892,7420,7483,8109,7483,8450,6892,8109,6301xe" filled="true" fillcolor="#d4e2cf" stroked="false">
              <v:path arrowok="t"/>
              <v:fill type="solid"/>
            </v:shape>
            <v:shape style="position:absolute;left:7380;top:4943;width:2981;height:2579" coordorigin="7380,4943" coordsize="2981,2579" path="m9624,4943l8117,4943,7380,6232,8117,7521,9624,7521,10360,6232,9624,4943xe" filled="true" fillcolor="#6fac46" stroked="false">
              <v:path arrowok="t"/>
              <v:fill type="solid"/>
            </v:shape>
            <v:shape style="position:absolute;left:7380;top:4943;width:2981;height:2579" coordorigin="7380,4943" coordsize="2981,2579" path="m7380,6232l8117,4943,9624,4943,10360,6232,9624,7521,8117,7521,7380,6232xe" filled="false" stroked="true" strokeweight="1.0pt" strokecolor="#ffffff">
              <v:path arrowok="t"/>
              <v:stroke dashstyle="solid"/>
            </v:shape>
            <v:shape style="position:absolute;left:4318;top:6560;width:1373;height:1183" coordorigin="4318,6560" coordsize="1373,1183" path="m5349,6560l4660,6560,4318,7151,4660,7742,5349,7742,5691,7151,5349,6560xe" filled="true" fillcolor="#d4e2cf" stroked="false">
              <v:path arrowok="t"/>
              <v:fill type="solid"/>
            </v:shape>
            <v:shape style="position:absolute;left:4646;top:6530;width:2981;height:2579" coordorigin="4647,6531" coordsize="2981,2579" path="m6890,6531l5383,6531,4647,7820,5383,9109,6890,9109,7627,7820,6890,6531xe" filled="true" fillcolor="#6fac46" stroked="false">
              <v:path arrowok="t"/>
              <v:fill type="solid"/>
            </v:shape>
            <v:shape style="position:absolute;left:4646;top:6530;width:2981;height:2579" coordorigin="4647,6531" coordsize="2981,2579" path="m4647,7820l5383,6531,6890,6531,7627,7820,6890,9109,5383,9109,4647,7820xe" filled="false" stroked="true" strokeweight="1.0pt" strokecolor="#ffffff">
              <v:path arrowok="t"/>
              <v:stroke dashstyle="solid"/>
            </v:shape>
            <v:shape style="position:absolute;left:2690;top:4350;width:1373;height:1183" coordorigin="2691,4351" coordsize="1373,1183" path="m3721,4351l3032,4351,2691,4942,3032,5533,3721,5533,4063,4942,3721,4351xe" filled="true" fillcolor="#d4e2cf" stroked="false">
              <v:path arrowok="t"/>
              <v:fill type="solid"/>
            </v:shape>
            <v:shape style="position:absolute;left:1900;top:4944;width:2981;height:2579" coordorigin="1901,4945" coordsize="2981,2579" path="m4144,4945l2637,4945,1901,6234,2637,7523,4144,7523,4881,6234,4144,4945xe" filled="true" fillcolor="#6fac46" stroked="false">
              <v:path arrowok="t"/>
              <v:fill type="solid"/>
            </v:shape>
            <v:shape style="position:absolute;left:1900;top:4944;width:2981;height:2579" coordorigin="1901,4945" coordsize="2981,2579" path="m1901,6234l2637,4945,4144,4945,4881,6234,4144,7523,2637,7523,1901,6234xe" filled="false" stroked="true" strokeweight="1.0pt" strokecolor="#ffffff">
              <v:path arrowok="t"/>
              <v:stroke dashstyle="solid"/>
            </v:shape>
            <v:shape style="position:absolute;left:1900;top:1821;width:2981;height:2579" coordorigin="1901,1822" coordsize="2981,2579" path="m4144,1822l2637,1822,1901,3111,2637,4400,4144,4400,4881,3111,4144,1822xe" filled="true" fillcolor="#6fac46" stroked="false">
              <v:path arrowok="t"/>
              <v:fill type="solid"/>
            </v:shape>
            <v:shape style="position:absolute;left:1900;top:1821;width:2981;height:2579" coordorigin="1901,1822" coordsize="2981,2579" path="m1901,3111l2637,1822,4144,1822,4881,3111,4144,4400,2637,4400,1901,3111xe" filled="false" stroked="true" strokeweight="1.0pt" strokecolor="#ffffff">
              <v:path arrowok="t"/>
              <v:stroke dashstyle="solid"/>
            </v:shape>
            <v:shape style="position:absolute;left:5378;top:978;width:1534;height:1073" type="#_x0000_t202" filled="false" stroked="false">
              <v:textbox inset="0,0,0,0">
                <w:txbxContent>
                  <w:p>
                    <w:pPr>
                      <w:spacing w:line="216" w:lineRule="auto" w:before="24"/>
                      <w:ind w:left="0" w:right="18" w:firstLine="0"/>
                      <w:jc w:val="center"/>
                      <w:rPr>
                        <w:sz w:val="24"/>
                      </w:rPr>
                    </w:pPr>
                    <w:r>
                      <w:rPr>
                        <w:color w:val="FFFFFF"/>
                        <w:sz w:val="24"/>
                      </w:rPr>
                      <w:t>Cross-systems collaboration and service co-ordination</w:t>
                    </w:r>
                  </w:p>
                </w:txbxContent>
              </v:textbox>
              <w10:wrap type="none"/>
            </v:shape>
            <v:shape style="position:absolute;left:2574;top:2691;width:1652;height:811" type="#_x0000_t202" filled="false" stroked="false">
              <v:textbox inset="0,0,0,0">
                <w:txbxContent>
                  <w:p>
                    <w:pPr>
                      <w:spacing w:line="216" w:lineRule="auto" w:before="24"/>
                      <w:ind w:left="0" w:right="18" w:firstLine="0"/>
                      <w:jc w:val="center"/>
                      <w:rPr>
                        <w:sz w:val="24"/>
                      </w:rPr>
                    </w:pPr>
                    <w:r>
                      <w:rPr>
                        <w:color w:val="FFFFFF"/>
                        <w:sz w:val="24"/>
                      </w:rPr>
                      <w:t>Including peers with lived experience</w:t>
                    </w:r>
                  </w:p>
                </w:txbxContent>
              </v:textbox>
              <w10:wrap type="none"/>
            </v:shape>
            <v:shape style="position:absolute;left:8142;top:2564;width:1473;height:1073" type="#_x0000_t202" filled="false" stroked="false">
              <v:textbox inset="0,0,0,0">
                <w:txbxContent>
                  <w:p>
                    <w:pPr>
                      <w:spacing w:line="216" w:lineRule="auto" w:before="24"/>
                      <w:ind w:left="0" w:right="18" w:firstLine="64"/>
                      <w:jc w:val="both"/>
                      <w:rPr>
                        <w:sz w:val="24"/>
                      </w:rPr>
                    </w:pPr>
                    <w:r>
                      <w:rPr>
                        <w:color w:val="FFFFFF"/>
                        <w:sz w:val="24"/>
                      </w:rPr>
                      <w:t>Information- sharing and performance measurement</w:t>
                    </w:r>
                  </w:p>
                </w:txbxContent>
              </v:textbox>
              <w10:wrap type="none"/>
            </v:shape>
            <v:shape style="position:absolute;left:5245;top:4239;width:1787;height:826" type="#_x0000_t202" filled="false" stroked="false">
              <v:textbox inset="0,0,0,0">
                <w:txbxContent>
                  <w:p>
                    <w:pPr>
                      <w:spacing w:line="216" w:lineRule="auto" w:before="36"/>
                      <w:ind w:left="0" w:right="-2" w:firstLine="549"/>
                      <w:jc w:val="left"/>
                      <w:rPr>
                        <w:b/>
                        <w:sz w:val="36"/>
                      </w:rPr>
                    </w:pPr>
                    <w:r>
                      <w:rPr>
                        <w:b/>
                        <w:color w:val="FFFFFF"/>
                        <w:sz w:val="36"/>
                      </w:rPr>
                      <w:t>Key messages</w:t>
                    </w:r>
                  </w:p>
                </w:txbxContent>
              </v:textbox>
              <w10:wrap type="none"/>
            </v:shape>
            <v:shape style="position:absolute;left:2466;top:5553;width:1868;height:1332" type="#_x0000_t202" filled="false" stroked="false">
              <v:textbox inset="0,0,0,0">
                <w:txbxContent>
                  <w:p>
                    <w:pPr>
                      <w:spacing w:line="216" w:lineRule="auto" w:before="24"/>
                      <w:ind w:left="0" w:right="18" w:hanging="1"/>
                      <w:jc w:val="center"/>
                      <w:rPr>
                        <w:sz w:val="24"/>
                      </w:rPr>
                    </w:pPr>
                    <w:r>
                      <w:rPr>
                        <w:color w:val="FFFFFF"/>
                        <w:sz w:val="24"/>
                      </w:rPr>
                      <w:t>Strengthening supportive relationships</w:t>
                    </w:r>
                    <w:r>
                      <w:rPr>
                        <w:color w:val="FFFFFF"/>
                        <w:spacing w:val="-12"/>
                        <w:sz w:val="24"/>
                      </w:rPr>
                      <w:t> </w:t>
                    </w:r>
                    <w:r>
                      <w:rPr>
                        <w:color w:val="FFFFFF"/>
                        <w:sz w:val="24"/>
                      </w:rPr>
                      <w:t>with family and extended</w:t>
                    </w:r>
                    <w:r>
                      <w:rPr>
                        <w:color w:val="FFFFFF"/>
                        <w:spacing w:val="-7"/>
                        <w:sz w:val="24"/>
                      </w:rPr>
                      <w:t> </w:t>
                    </w:r>
                    <w:r>
                      <w:rPr>
                        <w:color w:val="FFFFFF"/>
                        <w:sz w:val="24"/>
                      </w:rPr>
                      <w:t>others</w:t>
                    </w:r>
                  </w:p>
                </w:txbxContent>
              </v:textbox>
              <w10:wrap type="none"/>
            </v:shape>
            <v:shape style="position:absolute;left:8053;top:5812;width:1652;height:811" type="#_x0000_t202" filled="false" stroked="false">
              <v:textbox inset="0,0,0,0">
                <w:txbxContent>
                  <w:p>
                    <w:pPr>
                      <w:spacing w:line="216" w:lineRule="auto" w:before="24"/>
                      <w:ind w:left="0" w:right="18" w:hanging="3"/>
                      <w:jc w:val="center"/>
                      <w:rPr>
                        <w:sz w:val="24"/>
                      </w:rPr>
                    </w:pPr>
                    <w:r>
                      <w:rPr>
                        <w:color w:val="FFFFFF"/>
                        <w:sz w:val="24"/>
                      </w:rPr>
                      <w:t>Routine identification of complex needs</w:t>
                    </w:r>
                  </w:p>
                </w:txbxContent>
              </v:textbox>
              <w10:wrap type="none"/>
            </v:shape>
            <v:shape style="position:absolute;left:5207;top:7139;width:1879;height:1332" type="#_x0000_t202" filled="false" stroked="false">
              <v:textbox inset="0,0,0,0">
                <w:txbxContent>
                  <w:p>
                    <w:pPr>
                      <w:spacing w:line="216" w:lineRule="auto" w:before="24"/>
                      <w:ind w:left="0" w:right="18" w:hanging="3"/>
                      <w:jc w:val="center"/>
                      <w:rPr>
                        <w:sz w:val="24"/>
                      </w:rPr>
                    </w:pPr>
                    <w:r>
                      <w:rPr>
                        <w:color w:val="FFFFFF"/>
                        <w:sz w:val="24"/>
                      </w:rPr>
                      <w:t>Links to healthcare and social support services including housing</w:t>
                    </w:r>
                  </w:p>
                </w:txbxContent>
              </v:textbox>
              <w10:wrap type="none"/>
            </v:shape>
            <w10:wrap type="topAndBottom"/>
          </v:group>
        </w:pict>
      </w:r>
    </w:p>
    <w:p>
      <w:pPr>
        <w:pStyle w:val="BodyText"/>
        <w:spacing w:before="1"/>
        <w:rPr>
          <w:sz w:val="20"/>
        </w:rPr>
      </w:pPr>
    </w:p>
    <w:p>
      <w:pPr>
        <w:pStyle w:val="Heading2"/>
        <w:ind w:left="120"/>
      </w:pPr>
      <w:r>
        <w:rPr/>
        <w:t>Key message 1 – cross-systems collaboration and service co-ordination</w:t>
      </w:r>
    </w:p>
    <w:p>
      <w:pPr>
        <w:pStyle w:val="BodyText"/>
        <w:spacing w:before="118"/>
        <w:ind w:left="119" w:right="131"/>
      </w:pPr>
      <w:r>
        <w:rPr/>
        <w:t>Collaborative and co-ordinated efforts across systems and services are identified as essential to avoid justice-involved persons with complex needs falling through the inevitable gaps that emerge when multiple service providers do not take shared responsibility for the person’s welfare and commit to working together to this end. It is noted as essential for effective outcomes that co-ordinating bodies develop ‘community buy-in’ through shared identification of priorities, funding streams and accountability mechanisms (Policy Research Associates, 2018). It is in this regard that the </w:t>
      </w:r>
      <w:r>
        <w:rPr>
          <w:i/>
          <w:sz w:val="23"/>
        </w:rPr>
        <w:t>SIM ‘mapping process’ </w:t>
      </w:r>
      <w:r>
        <w:rPr/>
        <w:t>has been developed as an important strategic planning tool to bring stakeholders and communities of interest together to engage in facilitated mapping exercises to consider the pathway of justice-involved persons through the CJS, assess available resources, determine service gaps and develop</w:t>
      </w:r>
    </w:p>
    <w:p>
      <w:pPr>
        <w:spacing w:after="0"/>
        <w:sectPr>
          <w:footerReference w:type="default" r:id="rId11"/>
          <w:pgSz w:w="11910" w:h="16840"/>
          <w:pgMar w:footer="775" w:header="0" w:top="1340" w:bottom="960" w:left="1320" w:right="1300"/>
          <w:pgNumType w:start="8"/>
        </w:sectPr>
      </w:pPr>
    </w:p>
    <w:p>
      <w:pPr>
        <w:pStyle w:val="BodyText"/>
        <w:spacing w:before="82"/>
        <w:ind w:left="119" w:right="223"/>
      </w:pPr>
      <w:r>
        <w:rPr/>
        <w:t>shared priorities for action (Willison et al., 2018). Emerging evidence confirms that this mapping process has been well-received and has led to enhanced cross-sector collaboration and co-ordination (Bonfine and Nadler, 2019).</w:t>
      </w:r>
    </w:p>
    <w:p>
      <w:pPr>
        <w:pStyle w:val="BodyText"/>
        <w:spacing w:before="11"/>
        <w:rPr>
          <w:sz w:val="19"/>
        </w:rPr>
      </w:pPr>
    </w:p>
    <w:p>
      <w:pPr>
        <w:pStyle w:val="Heading2"/>
      </w:pPr>
      <w:r>
        <w:rPr/>
        <w:t>Key message 2 – information-sharing and performance measurement</w:t>
      </w:r>
    </w:p>
    <w:p>
      <w:pPr>
        <w:pStyle w:val="BodyText"/>
        <w:spacing w:before="108"/>
        <w:ind w:left="119" w:right="217" w:hanging="1"/>
      </w:pPr>
      <w:r>
        <w:rPr/>
        <w:t>Appropriate information-sharing </w:t>
      </w:r>
      <w:r>
        <w:rPr>
          <w:i/>
          <w:sz w:val="23"/>
        </w:rPr>
        <w:t>within </w:t>
      </w:r>
      <w:r>
        <w:rPr/>
        <w:t>and </w:t>
      </w:r>
      <w:r>
        <w:rPr>
          <w:i/>
          <w:sz w:val="23"/>
        </w:rPr>
        <w:t>between </w:t>
      </w:r>
      <w:r>
        <w:rPr/>
        <w:t>agencies and services is deemed essential to achieve consistent and effective cross-system collaboration and co-ordination to better meet the multi-faceted basic health and social care needs of justice-involved persons (such as safe accommodation and access to primary healthcare) as well as targeted treatment and support for specific mental health conditions or substance use issues (Policy Research Associates, 2018). This requires the development of information-sharing protocols and memoranda of understanding between interfacing service providers and training for personnel to understand their responsibilities in order to achieve the recommended ‘warm handovers’ as a person transitions between services.</w:t>
      </w:r>
    </w:p>
    <w:p>
      <w:pPr>
        <w:pStyle w:val="BodyText"/>
        <w:spacing w:before="119"/>
        <w:ind w:left="119" w:right="204"/>
      </w:pPr>
      <w:r>
        <w:rPr/>
        <w:t>It also demands a commitment to performance measurement as a means of identifying, gathering, analysing and applying relevant data to inform service developments (GAINS, 2019). It is noted that efforts to share data can fail when stakeholders lack clarity on the most essential information to collect, integrate and examine (GAINS, 2019). It is recommended that aggregate data should be gathered and shared between relevant agencies to understand the volume of people requiring access to specific services to help identify gaps or insufficiencies in service provision. Each chapter in the original report (Mooney et al., 2019) highlighted some of the common variables and measures that could be collected at each intercept. Additionally, it is noted that identifiers may also be used to track individuals as they move through the intercepts. Such processes will assist identification of ‘super-utilisers’, providing a better understanding of their specific needs, identifying service gaps and promoting tailored, joined-up service provision (Policy Research Associates, 2018).</w:t>
      </w:r>
    </w:p>
    <w:p>
      <w:pPr>
        <w:pStyle w:val="BodyText"/>
        <w:spacing w:before="1"/>
        <w:rPr>
          <w:sz w:val="20"/>
        </w:rPr>
      </w:pPr>
    </w:p>
    <w:p>
      <w:pPr>
        <w:pStyle w:val="Heading2"/>
        <w:spacing w:before="1"/>
      </w:pPr>
      <w:r>
        <w:rPr/>
        <w:t>Key message 3 – routine identification of complex needs</w:t>
      </w:r>
    </w:p>
    <w:p>
      <w:pPr>
        <w:pStyle w:val="BodyText"/>
        <w:spacing w:before="118"/>
        <w:ind w:left="119" w:right="234"/>
      </w:pPr>
      <w:r>
        <w:rPr/>
        <w:t>At each intercept, there is a need for routine identification of people with complex needs, including mental health and substance use issues as well as other issues identified as common in justice-involved persons (such as adverse childhood experiences, trauma, domestic violence, care experience, homelessness). It is recommended that individuals with mental health and substance use conditions should be identified through the routine administration of validated screening instruments (Policy Research Associates, 2018).</w:t>
      </w:r>
    </w:p>
    <w:p>
      <w:pPr>
        <w:pStyle w:val="BodyText"/>
        <w:spacing w:before="1"/>
        <w:ind w:left="119" w:right="190"/>
      </w:pPr>
      <w:r>
        <w:rPr/>
        <w:t>Routine identification is noted to require different forms of assessment at different stages in the criminal justice process and may be conducted by different professions or services. Such early identification is understood as essential to enable follow-up assessment and the provision of services and targeted treatment to meet identified needs. Early identification of complex needs will also be assisted by appropriate information-sharing between services and agencies. It should be noted however that routine enquiry into people’s adverse life histories requires due care, skill and consideration to avoid re-traumatisation. Clarity is required for frontline practitioners about why and how routine screening information will be used; what information will be shared and with whom; and how to discuss immediate or ongoing need (see Akin et al., 2017; Lang et al., 2017; Quigg et al., 2018 for learning from child welfare and mental health</w:t>
      </w:r>
      <w:r>
        <w:rPr>
          <w:spacing w:val="-2"/>
        </w:rPr>
        <w:t> </w:t>
      </w:r>
      <w:r>
        <w:rPr/>
        <w:t>contexts).</w:t>
      </w:r>
    </w:p>
    <w:p>
      <w:pPr>
        <w:pStyle w:val="BodyText"/>
        <w:spacing w:before="11"/>
        <w:rPr>
          <w:sz w:val="19"/>
        </w:rPr>
      </w:pPr>
    </w:p>
    <w:p>
      <w:pPr>
        <w:pStyle w:val="Heading2"/>
        <w:ind w:right="1060"/>
      </w:pPr>
      <w:r>
        <w:rPr/>
        <w:t>Key message 4 – links to healthcare and social support services including housing</w:t>
      </w:r>
    </w:p>
    <w:p>
      <w:pPr>
        <w:pStyle w:val="BodyText"/>
        <w:spacing w:before="120"/>
        <w:ind w:left="119" w:right="278"/>
      </w:pPr>
      <w:r>
        <w:rPr/>
        <w:t>This best practice principle reminds service providers of the need to ensure justice-involved persons across all intercepts have appropriate access to basic health, social care and</w:t>
      </w:r>
    </w:p>
    <w:p>
      <w:pPr>
        <w:spacing w:after="0"/>
        <w:sectPr>
          <w:pgSz w:w="11910" w:h="16840"/>
          <w:pgMar w:header="0" w:footer="775" w:top="1340" w:bottom="960" w:left="1320" w:right="1300"/>
        </w:sectPr>
      </w:pPr>
    </w:p>
    <w:p>
      <w:pPr>
        <w:pStyle w:val="BodyText"/>
        <w:spacing w:before="82"/>
        <w:ind w:left="119" w:right="306"/>
      </w:pPr>
      <w:r>
        <w:rPr/>
        <w:t>financial supports including social security, safe housing and social supports in the community. Without such basic supports, it is unlikely that targeted mental health or substance use treatments alone will be effective in helping individuals avoid further CJS interaction. The literature reviewed makes consistent reference to housing as a key priority for successful diversion (DeMatteo et al., 2013; Heilbrun et al., 2015; </w:t>
      </w:r>
      <w:r>
        <w:rPr>
          <w:color w:val="221F1F"/>
        </w:rPr>
        <w:t>Shaw et al. 2017</w:t>
      </w:r>
      <w:r>
        <w:rPr/>
        <w:t>; Yuan and Capriotti, 2019). This is mirrored in the UK context where having and retaining settled accommodation is noted by inspectors as ‘a key factor in successful rehabilitation’ (HM Inspectorate of Probation, 2020). The exclusion of justice-involved persons leaving prison from public housing and employment opportunities has been referred to as ‘invisible punishment’, which is proposed by some to be as severe as the prison sentence itself (Mauer and Chesney-Lind, 2002), increasing the likelihood of reoffending.</w:t>
      </w:r>
    </w:p>
    <w:p>
      <w:pPr>
        <w:pStyle w:val="BodyText"/>
        <w:spacing w:before="10"/>
        <w:rPr>
          <w:sz w:val="19"/>
        </w:rPr>
      </w:pPr>
    </w:p>
    <w:p>
      <w:pPr>
        <w:pStyle w:val="Heading2"/>
        <w:ind w:left="120" w:right="1153"/>
      </w:pPr>
      <w:r>
        <w:rPr/>
        <w:t>Key message 5 – strengthening supportive relationships with family and extended others</w:t>
      </w:r>
    </w:p>
    <w:p>
      <w:pPr>
        <w:pStyle w:val="BodyText"/>
        <w:spacing w:before="120"/>
        <w:ind w:left="119" w:right="139"/>
      </w:pPr>
      <w:r>
        <w:rPr/>
        <w:t>Although not mentioned specifically as an over-arching best practice principle in the US SIM literature, Mooney et al. (2019) concluded that intervening to strengthen supportive informal relationships should feature as an essential component of trauma-informed practice initiatives across all six intercepts given its significance in the practice literature reviewed.</w:t>
      </w:r>
    </w:p>
    <w:p>
      <w:pPr>
        <w:pStyle w:val="BodyText"/>
        <w:spacing w:before="1"/>
        <w:ind w:left="119" w:right="192"/>
      </w:pPr>
      <w:r>
        <w:rPr/>
        <w:t>Involving supportive family, friendships and significant others is recognised to assist successful engagement of vulnerable children and adults with an appropriate range of heath and social care service provision prior to or upstream in their involvement with the CJS (Farmer, 2019). Positive relationships and family contact are also known to influence how justice-involved persons cope with imprisonment as well as their reintegration and rehabilitation upon release and are strongly associated with reduced risk of reoffending (Markson et al., 2015).</w:t>
      </w:r>
    </w:p>
    <w:p>
      <w:pPr>
        <w:pStyle w:val="BodyText"/>
        <w:spacing w:before="120"/>
        <w:ind w:left="118" w:right="214"/>
      </w:pPr>
      <w:r>
        <w:rPr/>
        <w:t>This best practice key message is in keeping with the Ministry of Justice reviews which have highlighted the importance of strengthening family ties to prevent reoffending and reduce intergenerational crime (Farmer, 2017; 2019). Lord Farmer’s report (2017) on the importance of strengthening male prisoners’ family relatonships drew attention to a landmark study which found that 63 per cent of male prisoners’ sons went on to offend themselves (Farrington et al., 1996). A subsequent parallel review on female offenders’ family relationships (Farmer, 2019) cited research which found that adult children of imprisoned mothers were more likely to be convicted than adult children of imprisoned fathers (Dallaire, 2007) as well as noting that ‘a large proportion of female offenders have endured domestic and other abuse, often linked to their offending’ (Farmer, 2019, p.7).</w:t>
      </w:r>
    </w:p>
    <w:p>
      <w:pPr>
        <w:pStyle w:val="BodyText"/>
        <w:spacing w:before="122"/>
        <w:ind w:left="118" w:right="274"/>
      </w:pPr>
      <w:r>
        <w:rPr/>
        <w:t>Both reports described the importance of supportive family and other relationships as the ‘golden thread’ through all processes in the CJS – from early intervention to community solutions (see </w:t>
      </w:r>
      <w:hyperlink r:id="rId12">
        <w:r>
          <w:rPr>
            <w:color w:val="0000FF"/>
            <w:u w:val="single" w:color="0000FF"/>
          </w:rPr>
          <w:t>Academic Insights paper 2021/02</w:t>
        </w:r>
        <w:r>
          <w:rPr>
            <w:color w:val="0000FF"/>
          </w:rPr>
          <w:t> </w:t>
        </w:r>
      </w:hyperlink>
      <w:r>
        <w:rPr/>
        <w:t>by Trotter) and better custody for those who must serve a custodial sentence – with calls for action across several government departments. Lord Farmer concluded that systems of care (whether justice, health or social care) ‘cannot waste any opportunity to capture information about a woman’s family and relational background, including her children and other relationships which may be supportive’ (2019, p.9).</w:t>
      </w:r>
    </w:p>
    <w:p>
      <w:pPr>
        <w:pStyle w:val="BodyText"/>
        <w:spacing w:before="8"/>
        <w:rPr>
          <w:sz w:val="19"/>
        </w:rPr>
      </w:pPr>
    </w:p>
    <w:p>
      <w:pPr>
        <w:pStyle w:val="Heading2"/>
        <w:ind w:left="120"/>
      </w:pPr>
      <w:r>
        <w:rPr/>
        <w:t>Key message 6 – including peers with lived experience</w:t>
      </w:r>
    </w:p>
    <w:p>
      <w:pPr>
        <w:pStyle w:val="BodyText"/>
        <w:spacing w:before="119"/>
        <w:ind w:left="120" w:right="293"/>
      </w:pPr>
      <w:r>
        <w:rPr/>
        <w:t>The inclusion of peers with lived experience of mental health service provision and specifically the CJS emerged as a consistent theme in the design and delivery of effective practice innovations in the literature reviewed (Mooney et al., 2019). Indeed, this aspect of service design and delivery was specifically noted by Lord Bradley in his follow-up report of</w:t>
      </w:r>
    </w:p>
    <w:p>
      <w:pPr>
        <w:spacing w:after="0"/>
        <w:sectPr>
          <w:pgSz w:w="11910" w:h="16840"/>
          <w:pgMar w:header="0" w:footer="775" w:top="1340" w:bottom="960" w:left="1320" w:right="1300"/>
        </w:sectPr>
      </w:pPr>
    </w:p>
    <w:p>
      <w:pPr>
        <w:pStyle w:val="BodyText"/>
        <w:spacing w:before="82"/>
        <w:ind w:left="120" w:right="362"/>
      </w:pPr>
      <w:r>
        <w:rPr/>
        <w:t>2014 into the reforms needed to support people with mental health problems and learning disabilities in the justice system, where he recommended:</w:t>
      </w:r>
    </w:p>
    <w:p>
      <w:pPr>
        <w:pStyle w:val="BodyText"/>
        <w:spacing w:before="119"/>
        <w:ind w:left="840" w:right="971"/>
      </w:pPr>
      <w:r>
        <w:rPr/>
        <w:t>‘the adoption of a more psychosocial model of care to recognise the multiple and complex nature of need and a move towards recovery orientated approaches with a greater role for current and former service users (‘experts by experience’) in designing and delivering care’ (Durcan et al., 2014).</w:t>
      </w:r>
    </w:p>
    <w:p>
      <w:pPr>
        <w:pStyle w:val="BodyText"/>
        <w:spacing w:before="122"/>
        <w:ind w:left="120" w:right="154"/>
      </w:pPr>
      <w:r>
        <w:rPr/>
        <w:t>The inclusion of people with lived experience of mental health services in the development of peer crisis services is identified by SAMHSA (2014) as a key component of crisis services at Intercept 0. For example, emergency department diversion can consist of a triage service, embedded mobile crisis, or a peer specialist who provides support to people in crisis. Within the UK, bespoke services, often including peers with lived experience, have been established to divert and safely manage people with acute alcohol intoxication away from A&amp;E. These include Alcohol Intoxication Management Services (AIMS), Drunk Tanks, Safe Havens, and Alcohol Treatment Centres (ATCs) (see Irving et al., 2018). One UK survivor-led crisis service project, Dial House in Leeds, provides services to people in acute mental health crisis with frequent occurrence of repeat self-harm and suicidality (See Venner,</w:t>
      </w:r>
      <w:r>
        <w:rPr>
          <w:spacing w:val="-13"/>
        </w:rPr>
        <w:t> </w:t>
      </w:r>
      <w:r>
        <w:rPr/>
        <w:t>2009).</w:t>
      </w:r>
    </w:p>
    <w:p>
      <w:pPr>
        <w:pStyle w:val="BodyText"/>
        <w:spacing w:before="119"/>
        <w:ind w:left="120" w:right="1093"/>
      </w:pPr>
      <w:r>
        <w:rPr/>
        <w:t>However, notwithstanding these notable initatives, the inclusion of peers with lived experience in service delivery across all sectors remains in development.</w:t>
      </w:r>
    </w:p>
    <w:p>
      <w:pPr>
        <w:spacing w:after="0"/>
        <w:sectPr>
          <w:pgSz w:w="11910" w:h="16840"/>
          <w:pgMar w:header="0" w:footer="775" w:top="1340" w:bottom="960" w:left="1320" w:right="1300"/>
        </w:sectPr>
      </w:pPr>
    </w:p>
    <w:p>
      <w:pPr>
        <w:pStyle w:val="Heading1"/>
        <w:numPr>
          <w:ilvl w:val="0"/>
          <w:numId w:val="2"/>
        </w:numPr>
        <w:tabs>
          <w:tab w:pos="519" w:val="left" w:leader="none"/>
          <w:tab w:pos="9175" w:val="left" w:leader="none"/>
        </w:tabs>
        <w:spacing w:line="240" w:lineRule="auto" w:before="80" w:after="0"/>
        <w:ind w:left="518" w:right="0" w:hanging="399"/>
        <w:jc w:val="left"/>
        <w:rPr>
          <w:u w:val="none"/>
        </w:rPr>
      </w:pPr>
      <w:bookmarkStart w:name="_bookmark8" w:id="22"/>
      <w:bookmarkEnd w:id="22"/>
      <w:r>
        <w:rPr>
          <w:b w:val="0"/>
          <w:u w:val="none"/>
        </w:rPr>
      </w:r>
      <w:bookmarkStart w:name="3. Conclusion" w:id="23"/>
      <w:bookmarkEnd w:id="23"/>
      <w:r>
        <w:rPr>
          <w:b w:val="0"/>
          <w:u w:val="none"/>
        </w:rPr>
      </w:r>
      <w:bookmarkStart w:name="_bookmark7" w:id="24"/>
      <w:bookmarkEnd w:id="24"/>
      <w:r>
        <w:rPr>
          <w:b w:val="0"/>
          <w:u w:val="none"/>
        </w:rPr>
      </w:r>
      <w:bookmarkStart w:name="_bookmark7" w:id="25"/>
      <w:bookmarkEnd w:id="25"/>
      <w:r>
        <w:rPr>
          <w:color w:val="00776F"/>
          <w:u w:val="single" w:color="A6A9AA"/>
        </w:rPr>
        <w:t>C</w:t>
      </w:r>
      <w:r>
        <w:rPr>
          <w:color w:val="00776F"/>
          <w:u w:val="single" w:color="A6A9AA"/>
        </w:rPr>
        <w:t>onclusion</w:t>
        <w:tab/>
      </w:r>
    </w:p>
    <w:p>
      <w:pPr>
        <w:pStyle w:val="BodyText"/>
        <w:rPr>
          <w:b/>
          <w:sz w:val="20"/>
        </w:rPr>
      </w:pPr>
    </w:p>
    <w:p>
      <w:pPr>
        <w:pStyle w:val="BodyText"/>
        <w:spacing w:before="11"/>
        <w:rPr>
          <w:b/>
          <w:sz w:val="23"/>
        </w:rPr>
      </w:pPr>
    </w:p>
    <w:p>
      <w:pPr>
        <w:pStyle w:val="BodyText"/>
        <w:spacing w:before="101"/>
        <w:ind w:left="119" w:right="157"/>
      </w:pPr>
      <w:r>
        <w:rPr/>
        <w:t>This paper has highlighted key messages for service providers and policy makers arising from a selective review of practice innovations which sought to apply the Sequential Intercept Model (SIM) to the Northern Ireland criminal justice context (Mooney et al., 2019). The SIM is noted as a trauma-informed approach which highlights opportunities to divert justice-involved children and adults with complex needs from the CJS and thus improve their life</w:t>
      </w:r>
      <w:r>
        <w:rPr>
          <w:spacing w:val="-2"/>
        </w:rPr>
        <w:t> </w:t>
      </w:r>
      <w:r>
        <w:rPr/>
        <w:t>chances.</w:t>
      </w:r>
    </w:p>
    <w:p>
      <w:pPr>
        <w:pStyle w:val="BodyText"/>
        <w:spacing w:line="237" w:lineRule="auto" w:before="123"/>
        <w:ind w:left="119" w:right="192"/>
      </w:pPr>
      <w:r>
        <w:rPr/>
        <w:t>The key messages are consistent with many UK policy developments and initiatives. For example,</w:t>
      </w:r>
      <w:r>
        <w:rPr>
          <w:spacing w:val="-10"/>
        </w:rPr>
        <w:t> </w:t>
      </w:r>
      <w:r>
        <w:rPr/>
        <w:t>the</w:t>
      </w:r>
      <w:r>
        <w:rPr>
          <w:spacing w:val="-10"/>
        </w:rPr>
        <w:t> </w:t>
      </w:r>
      <w:r>
        <w:rPr>
          <w:i/>
          <w:sz w:val="23"/>
        </w:rPr>
        <w:t>Female</w:t>
      </w:r>
      <w:r>
        <w:rPr>
          <w:i/>
          <w:spacing w:val="-14"/>
          <w:sz w:val="23"/>
        </w:rPr>
        <w:t> </w:t>
      </w:r>
      <w:r>
        <w:rPr>
          <w:i/>
          <w:sz w:val="23"/>
        </w:rPr>
        <w:t>Offender</w:t>
      </w:r>
      <w:r>
        <w:rPr>
          <w:i/>
          <w:spacing w:val="-14"/>
          <w:sz w:val="23"/>
        </w:rPr>
        <w:t> </w:t>
      </w:r>
      <w:r>
        <w:rPr>
          <w:i/>
          <w:sz w:val="23"/>
        </w:rPr>
        <w:t>Strategy</w:t>
      </w:r>
      <w:r>
        <w:rPr>
          <w:i/>
          <w:spacing w:val="-13"/>
          <w:sz w:val="23"/>
        </w:rPr>
        <w:t> </w:t>
      </w:r>
      <w:r>
        <w:rPr/>
        <w:t>(Ministry</w:t>
      </w:r>
      <w:r>
        <w:rPr>
          <w:spacing w:val="-14"/>
        </w:rPr>
        <w:t> </w:t>
      </w:r>
      <w:r>
        <w:rPr/>
        <w:t>of</w:t>
      </w:r>
      <w:r>
        <w:rPr>
          <w:spacing w:val="-10"/>
        </w:rPr>
        <w:t> </w:t>
      </w:r>
      <w:r>
        <w:rPr/>
        <w:t>Justice,</w:t>
      </w:r>
      <w:r>
        <w:rPr>
          <w:spacing w:val="-9"/>
        </w:rPr>
        <w:t> </w:t>
      </w:r>
      <w:r>
        <w:rPr/>
        <w:t>2018)</w:t>
      </w:r>
      <w:r>
        <w:rPr>
          <w:spacing w:val="-11"/>
        </w:rPr>
        <w:t> </w:t>
      </w:r>
      <w:r>
        <w:rPr/>
        <w:t>promises</w:t>
      </w:r>
      <w:r>
        <w:rPr>
          <w:spacing w:val="-10"/>
        </w:rPr>
        <w:t> </w:t>
      </w:r>
      <w:r>
        <w:rPr/>
        <w:t>a</w:t>
      </w:r>
      <w:r>
        <w:rPr>
          <w:spacing w:val="-10"/>
        </w:rPr>
        <w:t> </w:t>
      </w:r>
      <w:r>
        <w:rPr/>
        <w:t>focus</w:t>
      </w:r>
      <w:r>
        <w:rPr>
          <w:spacing w:val="-10"/>
        </w:rPr>
        <w:t> </w:t>
      </w:r>
      <w:r>
        <w:rPr/>
        <w:t>on</w:t>
      </w:r>
      <w:r>
        <w:rPr>
          <w:spacing w:val="-11"/>
        </w:rPr>
        <w:t> </w:t>
      </w:r>
      <w:r>
        <w:rPr/>
        <w:t>early intervention, community-based solutions, and better custody for those women who have to be in prison, while a cross-government Victims Strategy (2018) notes the intention to develop the use of ‘trauma-informed approaches to support female offenders who are also victims’. In recent years England has rolled out Family Drug and Alcohol Courts</w:t>
      </w:r>
      <w:r>
        <w:rPr>
          <w:spacing w:val="-20"/>
        </w:rPr>
        <w:t> </w:t>
      </w:r>
      <w:r>
        <w:rPr/>
        <w:t>(FDAC)</w:t>
      </w:r>
    </w:p>
    <w:p>
      <w:pPr>
        <w:pStyle w:val="BodyText"/>
        <w:spacing w:line="237" w:lineRule="auto" w:before="4"/>
        <w:ind w:left="119" w:right="257"/>
      </w:pPr>
      <w:r>
        <w:rPr/>
        <w:t>– serving 36 local authorities as an alternative to standard care proceedings in the circumstances of parental drug or alcohol misuse – with positive effect (Papaioannou et al., 2023). In Northern Ireland, there has also been piloting of mental health courts and mental health</w:t>
      </w:r>
      <w:r>
        <w:rPr>
          <w:spacing w:val="-19"/>
        </w:rPr>
        <w:t> </w:t>
      </w:r>
      <w:r>
        <w:rPr/>
        <w:t>triage</w:t>
      </w:r>
      <w:r>
        <w:rPr>
          <w:spacing w:val="-20"/>
        </w:rPr>
        <w:t> </w:t>
      </w:r>
      <w:r>
        <w:rPr/>
        <w:t>(NIAO,</w:t>
      </w:r>
      <w:r>
        <w:rPr>
          <w:spacing w:val="-18"/>
        </w:rPr>
        <w:t> </w:t>
      </w:r>
      <w:r>
        <w:rPr/>
        <w:t>2019,</w:t>
      </w:r>
      <w:r>
        <w:rPr>
          <w:spacing w:val="-18"/>
        </w:rPr>
        <w:t> </w:t>
      </w:r>
      <w:r>
        <w:rPr/>
        <w:t>p.40-41).</w:t>
      </w:r>
      <w:r>
        <w:rPr>
          <w:spacing w:val="-21"/>
        </w:rPr>
        <w:t> </w:t>
      </w:r>
      <w:r>
        <w:rPr/>
        <w:t>The</w:t>
      </w:r>
      <w:r>
        <w:rPr>
          <w:spacing w:val="-18"/>
        </w:rPr>
        <w:t> </w:t>
      </w:r>
      <w:r>
        <w:rPr>
          <w:i/>
          <w:sz w:val="23"/>
        </w:rPr>
        <w:t>Improving</w:t>
      </w:r>
      <w:r>
        <w:rPr>
          <w:i/>
          <w:spacing w:val="-22"/>
          <w:sz w:val="23"/>
        </w:rPr>
        <w:t> </w:t>
      </w:r>
      <w:r>
        <w:rPr>
          <w:i/>
          <w:sz w:val="23"/>
        </w:rPr>
        <w:t>Health</w:t>
      </w:r>
      <w:r>
        <w:rPr>
          <w:i/>
          <w:spacing w:val="-22"/>
          <w:sz w:val="23"/>
        </w:rPr>
        <w:t> </w:t>
      </w:r>
      <w:r>
        <w:rPr>
          <w:i/>
          <w:sz w:val="23"/>
        </w:rPr>
        <w:t>within</w:t>
      </w:r>
      <w:r>
        <w:rPr>
          <w:i/>
          <w:spacing w:val="-22"/>
          <w:sz w:val="23"/>
        </w:rPr>
        <w:t> </w:t>
      </w:r>
      <w:r>
        <w:rPr>
          <w:i/>
          <w:sz w:val="23"/>
        </w:rPr>
        <w:t>Criminal</w:t>
      </w:r>
      <w:r>
        <w:rPr>
          <w:i/>
          <w:spacing w:val="-24"/>
          <w:sz w:val="23"/>
        </w:rPr>
        <w:t> </w:t>
      </w:r>
      <w:r>
        <w:rPr>
          <w:i/>
          <w:sz w:val="23"/>
        </w:rPr>
        <w:t>Justice</w:t>
      </w:r>
      <w:r>
        <w:rPr>
          <w:i/>
          <w:spacing w:val="-22"/>
          <w:sz w:val="23"/>
        </w:rPr>
        <w:t> </w:t>
      </w:r>
      <w:r>
        <w:rPr>
          <w:i/>
          <w:sz w:val="23"/>
        </w:rPr>
        <w:t>Strategy and</w:t>
      </w:r>
      <w:r>
        <w:rPr>
          <w:i/>
          <w:spacing w:val="-9"/>
          <w:sz w:val="23"/>
        </w:rPr>
        <w:t> </w:t>
      </w:r>
      <w:r>
        <w:rPr>
          <w:i/>
          <w:sz w:val="23"/>
        </w:rPr>
        <w:t>Action</w:t>
      </w:r>
      <w:r>
        <w:rPr>
          <w:i/>
          <w:spacing w:val="-9"/>
          <w:sz w:val="23"/>
        </w:rPr>
        <w:t> </w:t>
      </w:r>
      <w:r>
        <w:rPr>
          <w:i/>
          <w:sz w:val="23"/>
        </w:rPr>
        <w:t>Plan</w:t>
      </w:r>
      <w:r>
        <w:rPr>
          <w:i/>
          <w:spacing w:val="-10"/>
          <w:sz w:val="23"/>
        </w:rPr>
        <w:t> </w:t>
      </w:r>
      <w:r>
        <w:rPr/>
        <w:t>(June</w:t>
      </w:r>
      <w:r>
        <w:rPr>
          <w:spacing w:val="-7"/>
        </w:rPr>
        <w:t> </w:t>
      </w:r>
      <w:r>
        <w:rPr/>
        <w:t>2019)</w:t>
      </w:r>
      <w:r>
        <w:rPr>
          <w:spacing w:val="-6"/>
        </w:rPr>
        <w:t> </w:t>
      </w:r>
      <w:r>
        <w:rPr/>
        <w:t>recognised</w:t>
      </w:r>
      <w:r>
        <w:rPr>
          <w:spacing w:val="-5"/>
        </w:rPr>
        <w:t> </w:t>
      </w:r>
      <w:r>
        <w:rPr/>
        <w:t>that</w:t>
      </w:r>
      <w:r>
        <w:rPr>
          <w:spacing w:val="-5"/>
        </w:rPr>
        <w:t> </w:t>
      </w:r>
      <w:r>
        <w:rPr/>
        <w:t>many</w:t>
      </w:r>
      <w:r>
        <w:rPr>
          <w:spacing w:val="-5"/>
        </w:rPr>
        <w:t> </w:t>
      </w:r>
      <w:r>
        <w:rPr/>
        <w:t>young</w:t>
      </w:r>
      <w:r>
        <w:rPr>
          <w:spacing w:val="-8"/>
        </w:rPr>
        <w:t> </w:t>
      </w:r>
      <w:r>
        <w:rPr/>
        <w:t>people</w:t>
      </w:r>
      <w:r>
        <w:rPr>
          <w:spacing w:val="-7"/>
        </w:rPr>
        <w:t> </w:t>
      </w:r>
      <w:r>
        <w:rPr/>
        <w:t>and</w:t>
      </w:r>
      <w:r>
        <w:rPr>
          <w:spacing w:val="-5"/>
        </w:rPr>
        <w:t> </w:t>
      </w:r>
      <w:r>
        <w:rPr/>
        <w:t>adults</w:t>
      </w:r>
      <w:r>
        <w:rPr>
          <w:spacing w:val="-7"/>
        </w:rPr>
        <w:t> </w:t>
      </w:r>
      <w:r>
        <w:rPr/>
        <w:t>who</w:t>
      </w:r>
      <w:r>
        <w:rPr>
          <w:spacing w:val="-6"/>
        </w:rPr>
        <w:t> </w:t>
      </w:r>
      <w:r>
        <w:rPr/>
        <w:t>come</w:t>
      </w:r>
      <w:r>
        <w:rPr>
          <w:spacing w:val="-7"/>
        </w:rPr>
        <w:t> </w:t>
      </w:r>
      <w:r>
        <w:rPr/>
        <w:t>into contact with the CJS have a history of under-utilising health and social care services and consequently have unmet needs. Contact with the CJS is therefore recognised as ‘an important opportunity to engage or re-engage such children, young people and adults with the services they need’ with the intention that providing ‘the right care and treatment may have a positive impact in terms of reducing re-offending’ (Department of Health and Department of Justice, 2019, p.ii). Such goals are coherent with those of the</w:t>
      </w:r>
      <w:r>
        <w:rPr>
          <w:spacing w:val="-17"/>
        </w:rPr>
        <w:t> </w:t>
      </w:r>
      <w:r>
        <w:rPr/>
        <w:t>SIM.</w:t>
      </w:r>
    </w:p>
    <w:p>
      <w:pPr>
        <w:pStyle w:val="BodyText"/>
        <w:spacing w:before="123"/>
        <w:ind w:left="120" w:right="166" w:hanging="1"/>
      </w:pPr>
      <w:r>
        <w:rPr/>
        <w:t>While the prevalence rates of complex needs in the justice-involved population are indeed significant, with issues not easily separated or addressed, this paper highlights that with concerted cross-system collaborative efforts, there are opportunities to make positive contributions to improving the life chances of children, young people and adults by ensuring early access to the most appropriate health and social care services to meet identified needs and divert from sustained involvement in the justice system.</w:t>
      </w:r>
    </w:p>
    <w:p>
      <w:pPr>
        <w:spacing w:after="0"/>
        <w:sectPr>
          <w:pgSz w:w="11910" w:h="16840"/>
          <w:pgMar w:header="0" w:footer="775" w:top="1340" w:bottom="960" w:left="1320" w:right="1300"/>
        </w:sectPr>
      </w:pPr>
    </w:p>
    <w:p>
      <w:pPr>
        <w:pStyle w:val="Heading1"/>
        <w:tabs>
          <w:tab w:pos="9175" w:val="left" w:leader="none"/>
        </w:tabs>
        <w:ind w:left="120"/>
        <w:rPr>
          <w:u w:val="none"/>
        </w:rPr>
      </w:pPr>
      <w:bookmarkStart w:name="References" w:id="26"/>
      <w:bookmarkEnd w:id="26"/>
      <w:r>
        <w:rPr>
          <w:b w:val="0"/>
          <w:u w:val="none"/>
        </w:rPr>
      </w:r>
      <w:r>
        <w:rPr>
          <w:color w:val="00776F"/>
          <w:u w:val="single" w:color="A6A9AA"/>
        </w:rPr>
        <w:t>References</w:t>
        <w:tab/>
      </w:r>
    </w:p>
    <w:p>
      <w:pPr>
        <w:pStyle w:val="BodyText"/>
        <w:rPr>
          <w:b/>
          <w:sz w:val="20"/>
        </w:rPr>
      </w:pPr>
    </w:p>
    <w:p>
      <w:pPr>
        <w:pStyle w:val="BodyText"/>
        <w:spacing w:before="11"/>
        <w:rPr>
          <w:b/>
          <w:sz w:val="23"/>
        </w:rPr>
      </w:pPr>
    </w:p>
    <w:p>
      <w:pPr>
        <w:pStyle w:val="BodyText"/>
        <w:spacing w:line="235" w:lineRule="auto" w:before="105"/>
        <w:ind w:left="120" w:right="200"/>
      </w:pPr>
      <w:r>
        <w:rPr/>
        <w:t>Abreu, D., Parker, T.W., Noether, C.D., Steadman, H.J. and Case, B. (2017). ‘Revising the paradigm for jail diversion for people with mental and substance use disorders: Intercept 0’, </w:t>
      </w:r>
      <w:r>
        <w:rPr>
          <w:i/>
          <w:sz w:val="23"/>
        </w:rPr>
        <w:t>Behavioral Sciences &amp; the Law</w:t>
      </w:r>
      <w:r>
        <w:rPr/>
        <w:t>, 35(5-6), pp. 380-395.</w:t>
      </w:r>
    </w:p>
    <w:p>
      <w:pPr>
        <w:spacing w:line="230" w:lineRule="auto" w:before="119"/>
        <w:ind w:left="119" w:right="159" w:firstLine="0"/>
        <w:jc w:val="both"/>
        <w:rPr>
          <w:sz w:val="22"/>
        </w:rPr>
      </w:pPr>
      <w:r>
        <w:rPr>
          <w:sz w:val="22"/>
        </w:rPr>
        <w:t>Anders,</w:t>
      </w:r>
      <w:r>
        <w:rPr>
          <w:spacing w:val="-14"/>
          <w:sz w:val="22"/>
        </w:rPr>
        <w:t> </w:t>
      </w:r>
      <w:r>
        <w:rPr>
          <w:sz w:val="22"/>
        </w:rPr>
        <w:t>P.,</w:t>
      </w:r>
      <w:r>
        <w:rPr>
          <w:spacing w:val="-13"/>
          <w:sz w:val="22"/>
        </w:rPr>
        <w:t> </w:t>
      </w:r>
      <w:r>
        <w:rPr>
          <w:sz w:val="22"/>
        </w:rPr>
        <w:t>Jolley,</w:t>
      </w:r>
      <w:r>
        <w:rPr>
          <w:spacing w:val="-16"/>
          <w:sz w:val="22"/>
        </w:rPr>
        <w:t> </w:t>
      </w:r>
      <w:r>
        <w:rPr>
          <w:sz w:val="22"/>
        </w:rPr>
        <w:t>R.</w:t>
      </w:r>
      <w:r>
        <w:rPr>
          <w:spacing w:val="-14"/>
          <w:sz w:val="22"/>
        </w:rPr>
        <w:t> </w:t>
      </w:r>
      <w:r>
        <w:rPr>
          <w:sz w:val="22"/>
        </w:rPr>
        <w:t>and</w:t>
      </w:r>
      <w:r>
        <w:rPr>
          <w:spacing w:val="-15"/>
          <w:sz w:val="22"/>
        </w:rPr>
        <w:t> </w:t>
      </w:r>
      <w:r>
        <w:rPr>
          <w:sz w:val="22"/>
        </w:rPr>
        <w:t>Leaman,</w:t>
      </w:r>
      <w:r>
        <w:rPr>
          <w:spacing w:val="-14"/>
          <w:sz w:val="22"/>
        </w:rPr>
        <w:t> </w:t>
      </w:r>
      <w:r>
        <w:rPr>
          <w:sz w:val="22"/>
        </w:rPr>
        <w:t>J.</w:t>
      </w:r>
      <w:r>
        <w:rPr>
          <w:spacing w:val="-13"/>
          <w:sz w:val="22"/>
        </w:rPr>
        <w:t> </w:t>
      </w:r>
      <w:r>
        <w:rPr>
          <w:sz w:val="22"/>
        </w:rPr>
        <w:t>(2017).</w:t>
      </w:r>
      <w:r>
        <w:rPr>
          <w:spacing w:val="-14"/>
          <w:sz w:val="22"/>
        </w:rPr>
        <w:t> </w:t>
      </w:r>
      <w:r>
        <w:rPr>
          <w:i/>
          <w:sz w:val="23"/>
        </w:rPr>
        <w:t>A</w:t>
      </w:r>
      <w:r>
        <w:rPr>
          <w:i/>
          <w:spacing w:val="-19"/>
          <w:sz w:val="23"/>
        </w:rPr>
        <w:t> </w:t>
      </w:r>
      <w:r>
        <w:rPr>
          <w:i/>
          <w:sz w:val="23"/>
        </w:rPr>
        <w:t>resource</w:t>
      </w:r>
      <w:r>
        <w:rPr>
          <w:i/>
          <w:spacing w:val="-19"/>
          <w:sz w:val="23"/>
        </w:rPr>
        <w:t> </w:t>
      </w:r>
      <w:r>
        <w:rPr>
          <w:i/>
          <w:sz w:val="23"/>
        </w:rPr>
        <w:t>for</w:t>
      </w:r>
      <w:r>
        <w:rPr>
          <w:i/>
          <w:spacing w:val="-17"/>
          <w:sz w:val="23"/>
        </w:rPr>
        <w:t> </w:t>
      </w:r>
      <w:r>
        <w:rPr>
          <w:i/>
          <w:sz w:val="23"/>
        </w:rPr>
        <w:t>Directors</w:t>
      </w:r>
      <w:r>
        <w:rPr>
          <w:i/>
          <w:spacing w:val="-17"/>
          <w:sz w:val="23"/>
        </w:rPr>
        <w:t> </w:t>
      </w:r>
      <w:r>
        <w:rPr>
          <w:i/>
          <w:sz w:val="23"/>
        </w:rPr>
        <w:t>of</w:t>
      </w:r>
      <w:r>
        <w:rPr>
          <w:i/>
          <w:spacing w:val="-17"/>
          <w:sz w:val="23"/>
        </w:rPr>
        <w:t> </w:t>
      </w:r>
      <w:r>
        <w:rPr>
          <w:i/>
          <w:sz w:val="23"/>
        </w:rPr>
        <w:t>Public</w:t>
      </w:r>
      <w:r>
        <w:rPr>
          <w:i/>
          <w:spacing w:val="-18"/>
          <w:sz w:val="23"/>
        </w:rPr>
        <w:t> </w:t>
      </w:r>
      <w:r>
        <w:rPr>
          <w:i/>
          <w:sz w:val="23"/>
        </w:rPr>
        <w:t>Health,</w:t>
      </w:r>
      <w:r>
        <w:rPr>
          <w:i/>
          <w:spacing w:val="-17"/>
          <w:sz w:val="23"/>
        </w:rPr>
        <w:t> </w:t>
      </w:r>
      <w:r>
        <w:rPr>
          <w:i/>
          <w:sz w:val="23"/>
        </w:rPr>
        <w:t>Police and</w:t>
      </w:r>
      <w:r>
        <w:rPr>
          <w:i/>
          <w:spacing w:val="-35"/>
          <w:sz w:val="23"/>
        </w:rPr>
        <w:t> </w:t>
      </w:r>
      <w:r>
        <w:rPr>
          <w:i/>
          <w:sz w:val="23"/>
        </w:rPr>
        <w:t>Crime</w:t>
      </w:r>
      <w:r>
        <w:rPr>
          <w:i/>
          <w:spacing w:val="-36"/>
          <w:sz w:val="23"/>
        </w:rPr>
        <w:t> </w:t>
      </w:r>
      <w:r>
        <w:rPr>
          <w:i/>
          <w:sz w:val="23"/>
        </w:rPr>
        <w:t>Commissioners,</w:t>
      </w:r>
      <w:r>
        <w:rPr>
          <w:i/>
          <w:spacing w:val="-35"/>
          <w:sz w:val="23"/>
        </w:rPr>
        <w:t> </w:t>
      </w:r>
      <w:r>
        <w:rPr>
          <w:i/>
          <w:sz w:val="23"/>
        </w:rPr>
        <w:t>the</w:t>
      </w:r>
      <w:r>
        <w:rPr>
          <w:i/>
          <w:spacing w:val="-36"/>
          <w:sz w:val="23"/>
        </w:rPr>
        <w:t> </w:t>
      </w:r>
      <w:r>
        <w:rPr>
          <w:i/>
          <w:sz w:val="23"/>
        </w:rPr>
        <w:t>police</w:t>
      </w:r>
      <w:r>
        <w:rPr>
          <w:i/>
          <w:spacing w:val="-36"/>
          <w:sz w:val="23"/>
        </w:rPr>
        <w:t> </w:t>
      </w:r>
      <w:r>
        <w:rPr>
          <w:i/>
          <w:sz w:val="23"/>
        </w:rPr>
        <w:t>service</w:t>
      </w:r>
      <w:r>
        <w:rPr>
          <w:i/>
          <w:spacing w:val="-36"/>
          <w:sz w:val="23"/>
        </w:rPr>
        <w:t> </w:t>
      </w:r>
      <w:r>
        <w:rPr>
          <w:i/>
          <w:sz w:val="23"/>
        </w:rPr>
        <w:t>and</w:t>
      </w:r>
      <w:r>
        <w:rPr>
          <w:i/>
          <w:spacing w:val="-36"/>
          <w:sz w:val="23"/>
        </w:rPr>
        <w:t> </w:t>
      </w:r>
      <w:r>
        <w:rPr>
          <w:i/>
          <w:sz w:val="23"/>
        </w:rPr>
        <w:t>other</w:t>
      </w:r>
      <w:r>
        <w:rPr>
          <w:i/>
          <w:spacing w:val="-36"/>
          <w:sz w:val="23"/>
        </w:rPr>
        <w:t> </w:t>
      </w:r>
      <w:r>
        <w:rPr>
          <w:i/>
          <w:sz w:val="23"/>
        </w:rPr>
        <w:t>health</w:t>
      </w:r>
      <w:r>
        <w:rPr>
          <w:i/>
          <w:spacing w:val="-35"/>
          <w:sz w:val="23"/>
        </w:rPr>
        <w:t> </w:t>
      </w:r>
      <w:r>
        <w:rPr>
          <w:i/>
          <w:sz w:val="23"/>
        </w:rPr>
        <w:t>and</w:t>
      </w:r>
      <w:r>
        <w:rPr>
          <w:i/>
          <w:spacing w:val="-35"/>
          <w:sz w:val="23"/>
        </w:rPr>
        <w:t> </w:t>
      </w:r>
      <w:r>
        <w:rPr>
          <w:i/>
          <w:sz w:val="23"/>
        </w:rPr>
        <w:t>justice</w:t>
      </w:r>
      <w:r>
        <w:rPr>
          <w:i/>
          <w:spacing w:val="-36"/>
          <w:sz w:val="23"/>
        </w:rPr>
        <w:t> </w:t>
      </w:r>
      <w:r>
        <w:rPr>
          <w:i/>
          <w:sz w:val="23"/>
        </w:rPr>
        <w:t>community</w:t>
      </w:r>
      <w:r>
        <w:rPr>
          <w:i/>
          <w:spacing w:val="-35"/>
          <w:sz w:val="23"/>
        </w:rPr>
        <w:t> </w:t>
      </w:r>
      <w:r>
        <w:rPr>
          <w:i/>
          <w:sz w:val="23"/>
        </w:rPr>
        <w:t>service providers</w:t>
      </w:r>
      <w:r>
        <w:rPr>
          <w:i/>
          <w:spacing w:val="-8"/>
          <w:sz w:val="23"/>
        </w:rPr>
        <w:t> </w:t>
      </w:r>
      <w:r>
        <w:rPr>
          <w:i/>
          <w:sz w:val="23"/>
        </w:rPr>
        <w:t>and</w:t>
      </w:r>
      <w:r>
        <w:rPr>
          <w:i/>
          <w:spacing w:val="-8"/>
          <w:sz w:val="23"/>
        </w:rPr>
        <w:t> </w:t>
      </w:r>
      <w:r>
        <w:rPr>
          <w:i/>
          <w:sz w:val="23"/>
        </w:rPr>
        <w:t>users.</w:t>
      </w:r>
      <w:r>
        <w:rPr>
          <w:i/>
          <w:spacing w:val="-7"/>
          <w:sz w:val="23"/>
        </w:rPr>
        <w:t> </w:t>
      </w:r>
      <w:r>
        <w:rPr>
          <w:sz w:val="22"/>
        </w:rPr>
        <w:t>Revolving</w:t>
      </w:r>
      <w:r>
        <w:rPr>
          <w:spacing w:val="-3"/>
          <w:sz w:val="22"/>
        </w:rPr>
        <w:t> </w:t>
      </w:r>
      <w:r>
        <w:rPr>
          <w:sz w:val="22"/>
        </w:rPr>
        <w:t>Doors,</w:t>
      </w:r>
      <w:r>
        <w:rPr>
          <w:spacing w:val="-3"/>
          <w:sz w:val="22"/>
        </w:rPr>
        <w:t> </w:t>
      </w:r>
      <w:r>
        <w:rPr>
          <w:sz w:val="22"/>
        </w:rPr>
        <w:t>the</w:t>
      </w:r>
      <w:r>
        <w:rPr>
          <w:spacing w:val="-7"/>
          <w:sz w:val="22"/>
        </w:rPr>
        <w:t> </w:t>
      </w:r>
      <w:r>
        <w:rPr>
          <w:sz w:val="22"/>
        </w:rPr>
        <w:t>Home</w:t>
      </w:r>
      <w:r>
        <w:rPr>
          <w:spacing w:val="-6"/>
          <w:sz w:val="22"/>
        </w:rPr>
        <w:t> </w:t>
      </w:r>
      <w:r>
        <w:rPr>
          <w:sz w:val="22"/>
        </w:rPr>
        <w:t>Office</w:t>
      </w:r>
      <w:r>
        <w:rPr>
          <w:spacing w:val="-5"/>
          <w:sz w:val="22"/>
        </w:rPr>
        <w:t> </w:t>
      </w:r>
      <w:r>
        <w:rPr>
          <w:sz w:val="22"/>
        </w:rPr>
        <w:t>and</w:t>
      </w:r>
      <w:r>
        <w:rPr>
          <w:spacing w:val="-4"/>
          <w:sz w:val="22"/>
        </w:rPr>
        <w:t> </w:t>
      </w:r>
      <w:r>
        <w:rPr>
          <w:sz w:val="22"/>
        </w:rPr>
        <w:t>Public</w:t>
      </w:r>
      <w:r>
        <w:rPr>
          <w:spacing w:val="-5"/>
          <w:sz w:val="22"/>
        </w:rPr>
        <w:t> </w:t>
      </w:r>
      <w:r>
        <w:rPr>
          <w:sz w:val="22"/>
        </w:rPr>
        <w:t>Health</w:t>
      </w:r>
      <w:r>
        <w:rPr>
          <w:spacing w:val="-6"/>
          <w:sz w:val="22"/>
        </w:rPr>
        <w:t> </w:t>
      </w:r>
      <w:r>
        <w:rPr>
          <w:sz w:val="22"/>
        </w:rPr>
        <w:t>England.</w:t>
      </w:r>
    </w:p>
    <w:p>
      <w:pPr>
        <w:pStyle w:val="BodyText"/>
        <w:spacing w:line="235" w:lineRule="auto" w:before="123"/>
        <w:ind w:left="120" w:right="137"/>
      </w:pPr>
      <w:r>
        <w:rPr/>
        <w:t>Akin, B.A., Strolin-Goltzman, J. and Collins-Camargo, C. (2017). ‘Successes and challenges in developing trauma-informed child welfare systems: A real-world case study of exploration and initial implementation’, </w:t>
      </w:r>
      <w:r>
        <w:rPr>
          <w:i/>
          <w:sz w:val="23"/>
        </w:rPr>
        <w:t>Children and Youth Services Review</w:t>
      </w:r>
      <w:r>
        <w:rPr/>
        <w:t>, 82, pp. 42-52.</w:t>
      </w:r>
    </w:p>
    <w:p>
      <w:pPr>
        <w:spacing w:line="230" w:lineRule="auto" w:before="119"/>
        <w:ind w:left="120" w:right="134" w:firstLine="0"/>
        <w:jc w:val="left"/>
        <w:rPr>
          <w:sz w:val="22"/>
        </w:rPr>
      </w:pPr>
      <w:r>
        <w:rPr>
          <w:sz w:val="22"/>
        </w:rPr>
        <w:t>Baker,</w:t>
      </w:r>
      <w:r>
        <w:rPr>
          <w:spacing w:val="-17"/>
          <w:sz w:val="22"/>
        </w:rPr>
        <w:t> </w:t>
      </w:r>
      <w:r>
        <w:rPr>
          <w:sz w:val="22"/>
        </w:rPr>
        <w:t>J.,</w:t>
      </w:r>
      <w:r>
        <w:rPr>
          <w:spacing w:val="-17"/>
          <w:sz w:val="22"/>
        </w:rPr>
        <w:t> </w:t>
      </w:r>
      <w:r>
        <w:rPr>
          <w:sz w:val="22"/>
        </w:rPr>
        <w:t>Berzins,</w:t>
      </w:r>
      <w:r>
        <w:rPr>
          <w:spacing w:val="-19"/>
          <w:sz w:val="22"/>
        </w:rPr>
        <w:t> </w:t>
      </w:r>
      <w:r>
        <w:rPr>
          <w:sz w:val="22"/>
        </w:rPr>
        <w:t>K.</w:t>
      </w:r>
      <w:r>
        <w:rPr>
          <w:spacing w:val="-17"/>
          <w:sz w:val="22"/>
        </w:rPr>
        <w:t> </w:t>
      </w:r>
      <w:r>
        <w:rPr>
          <w:sz w:val="22"/>
        </w:rPr>
        <w:t>and</w:t>
      </w:r>
      <w:r>
        <w:rPr>
          <w:spacing w:val="-19"/>
          <w:sz w:val="22"/>
        </w:rPr>
        <w:t> </w:t>
      </w:r>
      <w:r>
        <w:rPr>
          <w:sz w:val="22"/>
        </w:rPr>
        <w:t>Kendal,</w:t>
      </w:r>
      <w:r>
        <w:rPr>
          <w:spacing w:val="-16"/>
          <w:sz w:val="22"/>
        </w:rPr>
        <w:t> </w:t>
      </w:r>
      <w:r>
        <w:rPr>
          <w:sz w:val="22"/>
        </w:rPr>
        <w:t>S.</w:t>
      </w:r>
      <w:r>
        <w:rPr>
          <w:spacing w:val="-17"/>
          <w:sz w:val="22"/>
        </w:rPr>
        <w:t> </w:t>
      </w:r>
      <w:r>
        <w:rPr>
          <w:sz w:val="22"/>
        </w:rPr>
        <w:t>(2022).</w:t>
      </w:r>
      <w:r>
        <w:rPr>
          <w:spacing w:val="-19"/>
          <w:sz w:val="22"/>
        </w:rPr>
        <w:t> </w:t>
      </w:r>
      <w:r>
        <w:rPr>
          <w:i/>
          <w:sz w:val="23"/>
        </w:rPr>
        <w:t>Reducing</w:t>
      </w:r>
      <w:r>
        <w:rPr>
          <w:i/>
          <w:spacing w:val="-20"/>
          <w:sz w:val="23"/>
        </w:rPr>
        <w:t> </w:t>
      </w:r>
      <w:r>
        <w:rPr>
          <w:i/>
          <w:sz w:val="23"/>
        </w:rPr>
        <w:t>restrictive</w:t>
      </w:r>
      <w:r>
        <w:rPr>
          <w:i/>
          <w:spacing w:val="-21"/>
          <w:sz w:val="23"/>
        </w:rPr>
        <w:t> </w:t>
      </w:r>
      <w:r>
        <w:rPr>
          <w:i/>
          <w:sz w:val="23"/>
        </w:rPr>
        <w:t>practices</w:t>
      </w:r>
      <w:r>
        <w:rPr>
          <w:i/>
          <w:spacing w:val="-22"/>
          <w:sz w:val="23"/>
        </w:rPr>
        <w:t> </w:t>
      </w:r>
      <w:r>
        <w:rPr>
          <w:i/>
          <w:sz w:val="23"/>
        </w:rPr>
        <w:t>across</w:t>
      </w:r>
      <w:r>
        <w:rPr>
          <w:i/>
          <w:spacing w:val="-21"/>
          <w:sz w:val="23"/>
        </w:rPr>
        <w:t> </w:t>
      </w:r>
      <w:r>
        <w:rPr>
          <w:i/>
          <w:sz w:val="23"/>
        </w:rPr>
        <w:t>health, education</w:t>
      </w:r>
      <w:r>
        <w:rPr>
          <w:i/>
          <w:spacing w:val="-8"/>
          <w:sz w:val="23"/>
        </w:rPr>
        <w:t> </w:t>
      </w:r>
      <w:r>
        <w:rPr>
          <w:i/>
          <w:sz w:val="23"/>
        </w:rPr>
        <w:t>and</w:t>
      </w:r>
      <w:r>
        <w:rPr>
          <w:i/>
          <w:spacing w:val="-7"/>
          <w:sz w:val="23"/>
        </w:rPr>
        <w:t> </w:t>
      </w:r>
      <w:r>
        <w:rPr>
          <w:i/>
          <w:sz w:val="23"/>
        </w:rPr>
        <w:t>criminal</w:t>
      </w:r>
      <w:r>
        <w:rPr>
          <w:i/>
          <w:spacing w:val="-8"/>
          <w:sz w:val="23"/>
        </w:rPr>
        <w:t> </w:t>
      </w:r>
      <w:r>
        <w:rPr>
          <w:i/>
          <w:sz w:val="23"/>
        </w:rPr>
        <w:t>justice</w:t>
      </w:r>
      <w:r>
        <w:rPr>
          <w:i/>
          <w:spacing w:val="-9"/>
          <w:sz w:val="23"/>
        </w:rPr>
        <w:t> </w:t>
      </w:r>
      <w:r>
        <w:rPr>
          <w:i/>
          <w:sz w:val="23"/>
        </w:rPr>
        <w:t>settings.</w:t>
      </w:r>
      <w:r>
        <w:rPr>
          <w:i/>
          <w:spacing w:val="-10"/>
          <w:sz w:val="23"/>
        </w:rPr>
        <w:t> </w:t>
      </w:r>
      <w:r>
        <w:rPr>
          <w:sz w:val="22"/>
        </w:rPr>
        <w:t>Report:</w:t>
      </w:r>
      <w:r>
        <w:rPr>
          <w:spacing w:val="-3"/>
          <w:sz w:val="22"/>
        </w:rPr>
        <w:t> </w:t>
      </w:r>
      <w:r>
        <w:rPr>
          <w:sz w:val="22"/>
        </w:rPr>
        <w:t>University</w:t>
      </w:r>
      <w:r>
        <w:rPr>
          <w:spacing w:val="-4"/>
          <w:sz w:val="22"/>
        </w:rPr>
        <w:t> </w:t>
      </w:r>
      <w:r>
        <w:rPr>
          <w:sz w:val="22"/>
        </w:rPr>
        <w:t>of</w:t>
      </w:r>
      <w:r>
        <w:rPr>
          <w:spacing w:val="-8"/>
          <w:sz w:val="22"/>
        </w:rPr>
        <w:t> </w:t>
      </w:r>
      <w:r>
        <w:rPr>
          <w:sz w:val="22"/>
        </w:rPr>
        <w:t>Leeds.</w:t>
      </w:r>
    </w:p>
    <w:p>
      <w:pPr>
        <w:pStyle w:val="BodyText"/>
        <w:spacing w:line="235" w:lineRule="auto" w:before="122"/>
        <w:ind w:left="120" w:right="334"/>
      </w:pPr>
      <w:r>
        <w:rPr/>
        <w:t>Bellis, M.A., Hughes, K., Leckenby, N., Perkins, C. and Lowey, H. (2014). ‘National household survey of adverse childhood experiences and their relationship with resilience to health-harming behaviors in England’, </w:t>
      </w:r>
      <w:r>
        <w:rPr>
          <w:i/>
          <w:sz w:val="23"/>
        </w:rPr>
        <w:t>BMC Medicine</w:t>
      </w:r>
      <w:r>
        <w:rPr/>
        <w:t>, 12(1), pp. 1-10.</w:t>
      </w:r>
    </w:p>
    <w:p>
      <w:pPr>
        <w:pStyle w:val="BodyText"/>
        <w:spacing w:line="237" w:lineRule="auto" w:before="123"/>
        <w:ind w:left="119" w:right="248"/>
      </w:pPr>
      <w:r>
        <w:rPr/>
        <w:t>Bellis, M.A., Ashton, K., Hughes, K., Ford, K., Bishop, J. and Paranjothy, S. (2015). ‘Adverse childhood experiences and their impact on health-harming behaviours in the Welsh adult population’, </w:t>
      </w:r>
      <w:r>
        <w:rPr>
          <w:i/>
          <w:sz w:val="23"/>
        </w:rPr>
        <w:t>Public Health Wales</w:t>
      </w:r>
      <w:r>
        <w:rPr/>
        <w:t>, 36, pp. 1-36.</w:t>
      </w:r>
    </w:p>
    <w:p>
      <w:pPr>
        <w:spacing w:line="237" w:lineRule="auto" w:before="116"/>
        <w:ind w:left="120" w:right="409" w:firstLine="0"/>
        <w:jc w:val="both"/>
        <w:rPr>
          <w:sz w:val="22"/>
        </w:rPr>
      </w:pPr>
      <w:r>
        <w:rPr>
          <w:sz w:val="22"/>
        </w:rPr>
        <w:t>Bonfine, N. and Nadler, N. (2019). ‘The Perceived Impact of Sequential Intercept Mapping on Communities Collaborating to Address Adults with Mental Illness in the Criminal Justice System’,</w:t>
      </w:r>
      <w:r>
        <w:rPr>
          <w:spacing w:val="-29"/>
          <w:sz w:val="22"/>
        </w:rPr>
        <w:t> </w:t>
      </w:r>
      <w:r>
        <w:rPr>
          <w:i/>
          <w:sz w:val="23"/>
        </w:rPr>
        <w:t>Administration</w:t>
      </w:r>
      <w:r>
        <w:rPr>
          <w:i/>
          <w:spacing w:val="-33"/>
          <w:sz w:val="23"/>
        </w:rPr>
        <w:t> </w:t>
      </w:r>
      <w:r>
        <w:rPr>
          <w:i/>
          <w:sz w:val="23"/>
        </w:rPr>
        <w:t>and</w:t>
      </w:r>
      <w:r>
        <w:rPr>
          <w:i/>
          <w:spacing w:val="-32"/>
          <w:sz w:val="23"/>
        </w:rPr>
        <w:t> </w:t>
      </w:r>
      <w:r>
        <w:rPr>
          <w:i/>
          <w:sz w:val="23"/>
        </w:rPr>
        <w:t>Policy</w:t>
      </w:r>
      <w:r>
        <w:rPr>
          <w:i/>
          <w:spacing w:val="-33"/>
          <w:sz w:val="23"/>
        </w:rPr>
        <w:t> </w:t>
      </w:r>
      <w:r>
        <w:rPr>
          <w:i/>
          <w:sz w:val="23"/>
        </w:rPr>
        <w:t>in</w:t>
      </w:r>
      <w:r>
        <w:rPr>
          <w:i/>
          <w:spacing w:val="-32"/>
          <w:sz w:val="23"/>
        </w:rPr>
        <w:t> </w:t>
      </w:r>
      <w:r>
        <w:rPr>
          <w:i/>
          <w:sz w:val="23"/>
        </w:rPr>
        <w:t>Mental</w:t>
      </w:r>
      <w:r>
        <w:rPr>
          <w:i/>
          <w:spacing w:val="-34"/>
          <w:sz w:val="23"/>
        </w:rPr>
        <w:t> </w:t>
      </w:r>
      <w:r>
        <w:rPr>
          <w:i/>
          <w:sz w:val="23"/>
        </w:rPr>
        <w:t>Health</w:t>
      </w:r>
      <w:r>
        <w:rPr>
          <w:i/>
          <w:spacing w:val="-32"/>
          <w:sz w:val="23"/>
        </w:rPr>
        <w:t> </w:t>
      </w:r>
      <w:r>
        <w:rPr>
          <w:i/>
          <w:sz w:val="23"/>
        </w:rPr>
        <w:t>and</w:t>
      </w:r>
      <w:r>
        <w:rPr>
          <w:i/>
          <w:spacing w:val="-31"/>
          <w:sz w:val="23"/>
        </w:rPr>
        <w:t> </w:t>
      </w:r>
      <w:r>
        <w:rPr>
          <w:i/>
          <w:sz w:val="23"/>
        </w:rPr>
        <w:t>Mental</w:t>
      </w:r>
      <w:r>
        <w:rPr>
          <w:i/>
          <w:spacing w:val="-34"/>
          <w:sz w:val="23"/>
        </w:rPr>
        <w:t> </w:t>
      </w:r>
      <w:r>
        <w:rPr>
          <w:i/>
          <w:sz w:val="23"/>
        </w:rPr>
        <w:t>Health</w:t>
      </w:r>
      <w:r>
        <w:rPr>
          <w:i/>
          <w:spacing w:val="-32"/>
          <w:sz w:val="23"/>
        </w:rPr>
        <w:t> </w:t>
      </w:r>
      <w:r>
        <w:rPr>
          <w:i/>
          <w:sz w:val="23"/>
        </w:rPr>
        <w:t>Services</w:t>
      </w:r>
      <w:r>
        <w:rPr>
          <w:i/>
          <w:spacing w:val="-31"/>
          <w:sz w:val="23"/>
        </w:rPr>
        <w:t> </w:t>
      </w:r>
      <w:r>
        <w:rPr>
          <w:i/>
          <w:sz w:val="23"/>
        </w:rPr>
        <w:t>Research</w:t>
      </w:r>
      <w:r>
        <w:rPr>
          <w:sz w:val="22"/>
        </w:rPr>
        <w:t>, pp.</w:t>
      </w:r>
      <w:r>
        <w:rPr>
          <w:spacing w:val="1"/>
          <w:sz w:val="22"/>
        </w:rPr>
        <w:t> </w:t>
      </w:r>
      <w:r>
        <w:rPr>
          <w:sz w:val="22"/>
        </w:rPr>
        <w:t>1-11.</w:t>
      </w:r>
    </w:p>
    <w:p>
      <w:pPr>
        <w:pStyle w:val="BodyText"/>
        <w:spacing w:line="260" w:lineRule="exact" w:before="117"/>
        <w:ind w:left="120"/>
        <w:jc w:val="both"/>
      </w:pPr>
      <w:r>
        <w:rPr/>
        <w:t>Bunting, L., Montgomery, L., Mooney, S., MacDonald, M., Coulter, S., Hayes, D., Davidson,</w:t>
      </w:r>
    </w:p>
    <w:p>
      <w:pPr>
        <w:spacing w:line="230" w:lineRule="auto" w:before="4"/>
        <w:ind w:left="120" w:right="465" w:hanging="1"/>
        <w:jc w:val="both"/>
        <w:rPr>
          <w:sz w:val="22"/>
        </w:rPr>
      </w:pPr>
      <w:r>
        <w:rPr>
          <w:sz w:val="22"/>
        </w:rPr>
        <w:t>G.</w:t>
      </w:r>
      <w:r>
        <w:rPr>
          <w:spacing w:val="-22"/>
          <w:sz w:val="22"/>
        </w:rPr>
        <w:t> </w:t>
      </w:r>
      <w:r>
        <w:rPr>
          <w:sz w:val="22"/>
        </w:rPr>
        <w:t>and</w:t>
      </w:r>
      <w:r>
        <w:rPr>
          <w:spacing w:val="-22"/>
          <w:sz w:val="22"/>
        </w:rPr>
        <w:t> </w:t>
      </w:r>
      <w:r>
        <w:rPr>
          <w:sz w:val="22"/>
        </w:rPr>
        <w:t>Forbes,</w:t>
      </w:r>
      <w:r>
        <w:rPr>
          <w:spacing w:val="-22"/>
          <w:sz w:val="22"/>
        </w:rPr>
        <w:t> </w:t>
      </w:r>
      <w:r>
        <w:rPr>
          <w:sz w:val="22"/>
        </w:rPr>
        <w:t>T.</w:t>
      </w:r>
      <w:r>
        <w:rPr>
          <w:spacing w:val="-22"/>
          <w:sz w:val="22"/>
        </w:rPr>
        <w:t> </w:t>
      </w:r>
      <w:r>
        <w:rPr>
          <w:sz w:val="22"/>
        </w:rPr>
        <w:t>(2018a).</w:t>
      </w:r>
      <w:r>
        <w:rPr>
          <w:spacing w:val="-22"/>
          <w:sz w:val="22"/>
        </w:rPr>
        <w:t> </w:t>
      </w:r>
      <w:r>
        <w:rPr>
          <w:i/>
          <w:sz w:val="23"/>
        </w:rPr>
        <w:t>Developing</w:t>
      </w:r>
      <w:r>
        <w:rPr>
          <w:i/>
          <w:spacing w:val="-27"/>
          <w:sz w:val="23"/>
        </w:rPr>
        <w:t> </w:t>
      </w:r>
      <w:r>
        <w:rPr>
          <w:i/>
          <w:sz w:val="23"/>
        </w:rPr>
        <w:t>trauma</w:t>
      </w:r>
      <w:r>
        <w:rPr>
          <w:i/>
          <w:spacing w:val="-25"/>
          <w:sz w:val="23"/>
        </w:rPr>
        <w:t> </w:t>
      </w:r>
      <w:r>
        <w:rPr>
          <w:i/>
          <w:sz w:val="23"/>
        </w:rPr>
        <w:t>informed</w:t>
      </w:r>
      <w:r>
        <w:rPr>
          <w:i/>
          <w:spacing w:val="-25"/>
          <w:sz w:val="23"/>
        </w:rPr>
        <w:t> </w:t>
      </w:r>
      <w:r>
        <w:rPr>
          <w:i/>
          <w:sz w:val="23"/>
        </w:rPr>
        <w:t>practice</w:t>
      </w:r>
      <w:r>
        <w:rPr>
          <w:i/>
          <w:spacing w:val="-27"/>
          <w:sz w:val="23"/>
        </w:rPr>
        <w:t> </w:t>
      </w:r>
      <w:r>
        <w:rPr>
          <w:i/>
          <w:sz w:val="23"/>
        </w:rPr>
        <w:t>in</w:t>
      </w:r>
      <w:r>
        <w:rPr>
          <w:i/>
          <w:spacing w:val="-25"/>
          <w:sz w:val="23"/>
        </w:rPr>
        <w:t> </w:t>
      </w:r>
      <w:r>
        <w:rPr>
          <w:i/>
          <w:sz w:val="23"/>
        </w:rPr>
        <w:t>Northern</w:t>
      </w:r>
      <w:r>
        <w:rPr>
          <w:i/>
          <w:spacing w:val="-26"/>
          <w:sz w:val="23"/>
        </w:rPr>
        <w:t> </w:t>
      </w:r>
      <w:r>
        <w:rPr>
          <w:i/>
          <w:sz w:val="23"/>
        </w:rPr>
        <w:t>Ireland:</w:t>
      </w:r>
      <w:r>
        <w:rPr>
          <w:i/>
          <w:spacing w:val="-25"/>
          <w:sz w:val="23"/>
        </w:rPr>
        <w:t> </w:t>
      </w:r>
      <w:r>
        <w:rPr>
          <w:i/>
          <w:sz w:val="23"/>
        </w:rPr>
        <w:t>The child welfare system</w:t>
      </w:r>
      <w:r>
        <w:rPr>
          <w:sz w:val="22"/>
        </w:rPr>
        <w:t>. Belfast: Safeguarding Board</w:t>
      </w:r>
      <w:r>
        <w:rPr>
          <w:spacing w:val="-16"/>
          <w:sz w:val="22"/>
        </w:rPr>
        <w:t> </w:t>
      </w:r>
      <w:r>
        <w:rPr>
          <w:sz w:val="22"/>
        </w:rPr>
        <w:t>NI.</w:t>
      </w:r>
    </w:p>
    <w:p>
      <w:pPr>
        <w:pStyle w:val="BodyText"/>
        <w:spacing w:line="260" w:lineRule="exact" w:before="120"/>
        <w:ind w:left="119"/>
        <w:jc w:val="both"/>
      </w:pPr>
      <w:r>
        <w:rPr/>
        <w:t>Bunting, L., Montgomery, L., Mooney, S., MacDonald, M., Coulter, S., Hayes, D., Davidson,</w:t>
      </w:r>
    </w:p>
    <w:p>
      <w:pPr>
        <w:spacing w:line="230" w:lineRule="auto" w:before="4"/>
        <w:ind w:left="119" w:right="458" w:hanging="1"/>
        <w:jc w:val="both"/>
        <w:rPr>
          <w:sz w:val="22"/>
        </w:rPr>
      </w:pPr>
      <w:r>
        <w:rPr>
          <w:sz w:val="22"/>
        </w:rPr>
        <w:t>G.</w:t>
      </w:r>
      <w:r>
        <w:rPr>
          <w:spacing w:val="-22"/>
          <w:sz w:val="22"/>
        </w:rPr>
        <w:t> </w:t>
      </w:r>
      <w:r>
        <w:rPr>
          <w:sz w:val="22"/>
        </w:rPr>
        <w:t>and</w:t>
      </w:r>
      <w:r>
        <w:rPr>
          <w:spacing w:val="-22"/>
          <w:sz w:val="22"/>
        </w:rPr>
        <w:t> </w:t>
      </w:r>
      <w:r>
        <w:rPr>
          <w:sz w:val="22"/>
        </w:rPr>
        <w:t>Forbes,</w:t>
      </w:r>
      <w:r>
        <w:rPr>
          <w:spacing w:val="-22"/>
          <w:sz w:val="22"/>
        </w:rPr>
        <w:t> </w:t>
      </w:r>
      <w:r>
        <w:rPr>
          <w:sz w:val="22"/>
        </w:rPr>
        <w:t>T.</w:t>
      </w:r>
      <w:r>
        <w:rPr>
          <w:spacing w:val="-22"/>
          <w:sz w:val="22"/>
        </w:rPr>
        <w:t> </w:t>
      </w:r>
      <w:r>
        <w:rPr>
          <w:sz w:val="22"/>
        </w:rPr>
        <w:t>(2018b).</w:t>
      </w:r>
      <w:r>
        <w:rPr>
          <w:spacing w:val="-21"/>
          <w:sz w:val="22"/>
        </w:rPr>
        <w:t> </w:t>
      </w:r>
      <w:r>
        <w:rPr>
          <w:i/>
          <w:sz w:val="23"/>
        </w:rPr>
        <w:t>Developing</w:t>
      </w:r>
      <w:r>
        <w:rPr>
          <w:i/>
          <w:spacing w:val="-27"/>
          <w:sz w:val="23"/>
        </w:rPr>
        <w:t> </w:t>
      </w:r>
      <w:r>
        <w:rPr>
          <w:i/>
          <w:sz w:val="23"/>
        </w:rPr>
        <w:t>trauma</w:t>
      </w:r>
      <w:r>
        <w:rPr>
          <w:i/>
          <w:spacing w:val="-26"/>
          <w:sz w:val="23"/>
        </w:rPr>
        <w:t> </w:t>
      </w:r>
      <w:r>
        <w:rPr>
          <w:i/>
          <w:sz w:val="23"/>
        </w:rPr>
        <w:t>informed</w:t>
      </w:r>
      <w:r>
        <w:rPr>
          <w:i/>
          <w:spacing w:val="-24"/>
          <w:sz w:val="23"/>
        </w:rPr>
        <w:t> </w:t>
      </w:r>
      <w:r>
        <w:rPr>
          <w:i/>
          <w:sz w:val="23"/>
        </w:rPr>
        <w:t>practice</w:t>
      </w:r>
      <w:r>
        <w:rPr>
          <w:i/>
          <w:spacing w:val="-27"/>
          <w:sz w:val="23"/>
        </w:rPr>
        <w:t> </w:t>
      </w:r>
      <w:r>
        <w:rPr>
          <w:i/>
          <w:sz w:val="23"/>
        </w:rPr>
        <w:t>in</w:t>
      </w:r>
      <w:r>
        <w:rPr>
          <w:i/>
          <w:spacing w:val="-25"/>
          <w:sz w:val="23"/>
        </w:rPr>
        <w:t> </w:t>
      </w:r>
      <w:r>
        <w:rPr>
          <w:i/>
          <w:sz w:val="23"/>
        </w:rPr>
        <w:t>Northern</w:t>
      </w:r>
      <w:r>
        <w:rPr>
          <w:i/>
          <w:spacing w:val="-26"/>
          <w:sz w:val="23"/>
        </w:rPr>
        <w:t> </w:t>
      </w:r>
      <w:r>
        <w:rPr>
          <w:i/>
          <w:sz w:val="23"/>
        </w:rPr>
        <w:t>Ireland:</w:t>
      </w:r>
      <w:r>
        <w:rPr>
          <w:i/>
          <w:spacing w:val="-24"/>
          <w:sz w:val="23"/>
        </w:rPr>
        <w:t> </w:t>
      </w:r>
      <w:r>
        <w:rPr>
          <w:i/>
          <w:sz w:val="23"/>
        </w:rPr>
        <w:t>The education system</w:t>
      </w:r>
      <w:r>
        <w:rPr>
          <w:sz w:val="22"/>
        </w:rPr>
        <w:t>. Belfast: Safeguarding Board</w:t>
      </w:r>
      <w:r>
        <w:rPr>
          <w:spacing w:val="-12"/>
          <w:sz w:val="22"/>
        </w:rPr>
        <w:t> </w:t>
      </w:r>
      <w:r>
        <w:rPr>
          <w:sz w:val="22"/>
        </w:rPr>
        <w:t>NI.</w:t>
      </w:r>
    </w:p>
    <w:p>
      <w:pPr>
        <w:pStyle w:val="BodyText"/>
        <w:spacing w:line="261" w:lineRule="exact" w:before="118"/>
        <w:ind w:left="119"/>
        <w:jc w:val="both"/>
      </w:pPr>
      <w:r>
        <w:rPr/>
        <w:t>Bunting, L., Montgomery, L., Mooney, S., MacDonald, M., Coulter, S., Hayes, D., Davidson,</w:t>
      </w:r>
    </w:p>
    <w:p>
      <w:pPr>
        <w:spacing w:line="230" w:lineRule="auto" w:before="4"/>
        <w:ind w:left="119" w:right="134" w:hanging="1"/>
        <w:jc w:val="left"/>
        <w:rPr>
          <w:sz w:val="22"/>
        </w:rPr>
      </w:pPr>
      <w:r>
        <w:rPr>
          <w:sz w:val="22"/>
        </w:rPr>
        <w:t>G.</w:t>
      </w:r>
      <w:r>
        <w:rPr>
          <w:spacing w:val="-22"/>
          <w:sz w:val="22"/>
        </w:rPr>
        <w:t> </w:t>
      </w:r>
      <w:r>
        <w:rPr>
          <w:sz w:val="22"/>
        </w:rPr>
        <w:t>and</w:t>
      </w:r>
      <w:r>
        <w:rPr>
          <w:spacing w:val="-22"/>
          <w:sz w:val="22"/>
        </w:rPr>
        <w:t> </w:t>
      </w:r>
      <w:r>
        <w:rPr>
          <w:sz w:val="22"/>
        </w:rPr>
        <w:t>Forbes,</w:t>
      </w:r>
      <w:r>
        <w:rPr>
          <w:spacing w:val="-22"/>
          <w:sz w:val="22"/>
        </w:rPr>
        <w:t> </w:t>
      </w:r>
      <w:r>
        <w:rPr>
          <w:sz w:val="22"/>
        </w:rPr>
        <w:t>T.</w:t>
      </w:r>
      <w:r>
        <w:rPr>
          <w:spacing w:val="-21"/>
          <w:sz w:val="22"/>
        </w:rPr>
        <w:t> </w:t>
      </w:r>
      <w:r>
        <w:rPr>
          <w:sz w:val="22"/>
        </w:rPr>
        <w:t>(2018c).</w:t>
      </w:r>
      <w:r>
        <w:rPr>
          <w:spacing w:val="-22"/>
          <w:sz w:val="22"/>
        </w:rPr>
        <w:t> </w:t>
      </w:r>
      <w:r>
        <w:rPr>
          <w:i/>
          <w:sz w:val="23"/>
        </w:rPr>
        <w:t>Developing</w:t>
      </w:r>
      <w:r>
        <w:rPr>
          <w:i/>
          <w:spacing w:val="-27"/>
          <w:sz w:val="23"/>
        </w:rPr>
        <w:t> </w:t>
      </w:r>
      <w:r>
        <w:rPr>
          <w:i/>
          <w:sz w:val="23"/>
        </w:rPr>
        <w:t>trauma</w:t>
      </w:r>
      <w:r>
        <w:rPr>
          <w:i/>
          <w:spacing w:val="-25"/>
          <w:sz w:val="23"/>
        </w:rPr>
        <w:t> </w:t>
      </w:r>
      <w:r>
        <w:rPr>
          <w:i/>
          <w:sz w:val="23"/>
        </w:rPr>
        <w:t>informed</w:t>
      </w:r>
      <w:r>
        <w:rPr>
          <w:i/>
          <w:spacing w:val="-25"/>
          <w:sz w:val="23"/>
        </w:rPr>
        <w:t> </w:t>
      </w:r>
      <w:r>
        <w:rPr>
          <w:i/>
          <w:sz w:val="23"/>
        </w:rPr>
        <w:t>practice</w:t>
      </w:r>
      <w:r>
        <w:rPr>
          <w:i/>
          <w:spacing w:val="-26"/>
          <w:sz w:val="23"/>
        </w:rPr>
        <w:t> </w:t>
      </w:r>
      <w:r>
        <w:rPr>
          <w:i/>
          <w:sz w:val="23"/>
        </w:rPr>
        <w:t>in</w:t>
      </w:r>
      <w:r>
        <w:rPr>
          <w:i/>
          <w:spacing w:val="-25"/>
          <w:sz w:val="23"/>
        </w:rPr>
        <w:t> </w:t>
      </w:r>
      <w:r>
        <w:rPr>
          <w:i/>
          <w:sz w:val="23"/>
        </w:rPr>
        <w:t>Northern</w:t>
      </w:r>
      <w:r>
        <w:rPr>
          <w:i/>
          <w:spacing w:val="-26"/>
          <w:sz w:val="23"/>
        </w:rPr>
        <w:t> </w:t>
      </w:r>
      <w:r>
        <w:rPr>
          <w:i/>
          <w:sz w:val="23"/>
        </w:rPr>
        <w:t>Ireland:</w:t>
      </w:r>
      <w:r>
        <w:rPr>
          <w:i/>
          <w:spacing w:val="-24"/>
          <w:sz w:val="23"/>
        </w:rPr>
        <w:t> </w:t>
      </w:r>
      <w:r>
        <w:rPr>
          <w:i/>
          <w:sz w:val="23"/>
        </w:rPr>
        <w:t>The justice system</w:t>
      </w:r>
      <w:r>
        <w:rPr>
          <w:sz w:val="22"/>
        </w:rPr>
        <w:t>. Belfast: Safeguarding Board</w:t>
      </w:r>
      <w:r>
        <w:rPr>
          <w:spacing w:val="-8"/>
          <w:sz w:val="22"/>
        </w:rPr>
        <w:t> </w:t>
      </w:r>
      <w:r>
        <w:rPr>
          <w:sz w:val="22"/>
        </w:rPr>
        <w:t>NI.</w:t>
      </w:r>
    </w:p>
    <w:p>
      <w:pPr>
        <w:pStyle w:val="BodyText"/>
        <w:spacing w:line="261" w:lineRule="exact" w:before="118"/>
        <w:ind w:left="119"/>
      </w:pPr>
      <w:r>
        <w:rPr/>
        <w:t>Bunting, L., Montgomery, L., Mooney, S., MacDonald, M., Coulter, S., Hayes, D., Davidson,</w:t>
      </w:r>
    </w:p>
    <w:p>
      <w:pPr>
        <w:spacing w:line="230" w:lineRule="auto" w:before="5"/>
        <w:ind w:left="119" w:right="134" w:hanging="1"/>
        <w:jc w:val="left"/>
        <w:rPr>
          <w:sz w:val="22"/>
        </w:rPr>
      </w:pPr>
      <w:r>
        <w:rPr>
          <w:sz w:val="22"/>
        </w:rPr>
        <w:t>G.</w:t>
      </w:r>
      <w:r>
        <w:rPr>
          <w:spacing w:val="-22"/>
          <w:sz w:val="22"/>
        </w:rPr>
        <w:t> </w:t>
      </w:r>
      <w:r>
        <w:rPr>
          <w:sz w:val="22"/>
        </w:rPr>
        <w:t>and</w:t>
      </w:r>
      <w:r>
        <w:rPr>
          <w:spacing w:val="-22"/>
          <w:sz w:val="22"/>
        </w:rPr>
        <w:t> </w:t>
      </w:r>
      <w:r>
        <w:rPr>
          <w:sz w:val="22"/>
        </w:rPr>
        <w:t>Forbes,</w:t>
      </w:r>
      <w:r>
        <w:rPr>
          <w:spacing w:val="-22"/>
          <w:sz w:val="22"/>
        </w:rPr>
        <w:t> </w:t>
      </w:r>
      <w:r>
        <w:rPr>
          <w:sz w:val="22"/>
        </w:rPr>
        <w:t>T.</w:t>
      </w:r>
      <w:r>
        <w:rPr>
          <w:spacing w:val="-22"/>
          <w:sz w:val="22"/>
        </w:rPr>
        <w:t> </w:t>
      </w:r>
      <w:r>
        <w:rPr>
          <w:sz w:val="22"/>
        </w:rPr>
        <w:t>(2018d).</w:t>
      </w:r>
      <w:r>
        <w:rPr>
          <w:spacing w:val="-21"/>
          <w:sz w:val="22"/>
        </w:rPr>
        <w:t> </w:t>
      </w:r>
      <w:r>
        <w:rPr>
          <w:i/>
          <w:sz w:val="23"/>
        </w:rPr>
        <w:t>Developing</w:t>
      </w:r>
      <w:r>
        <w:rPr>
          <w:i/>
          <w:spacing w:val="-27"/>
          <w:sz w:val="23"/>
        </w:rPr>
        <w:t> </w:t>
      </w:r>
      <w:r>
        <w:rPr>
          <w:i/>
          <w:sz w:val="23"/>
        </w:rPr>
        <w:t>trauma</w:t>
      </w:r>
      <w:r>
        <w:rPr>
          <w:i/>
          <w:spacing w:val="-26"/>
          <w:sz w:val="23"/>
        </w:rPr>
        <w:t> </w:t>
      </w:r>
      <w:r>
        <w:rPr>
          <w:i/>
          <w:sz w:val="23"/>
        </w:rPr>
        <w:t>informed</w:t>
      </w:r>
      <w:r>
        <w:rPr>
          <w:i/>
          <w:spacing w:val="-24"/>
          <w:sz w:val="23"/>
        </w:rPr>
        <w:t> </w:t>
      </w:r>
      <w:r>
        <w:rPr>
          <w:i/>
          <w:sz w:val="23"/>
        </w:rPr>
        <w:t>practice</w:t>
      </w:r>
      <w:r>
        <w:rPr>
          <w:i/>
          <w:spacing w:val="-27"/>
          <w:sz w:val="23"/>
        </w:rPr>
        <w:t> </w:t>
      </w:r>
      <w:r>
        <w:rPr>
          <w:i/>
          <w:sz w:val="23"/>
        </w:rPr>
        <w:t>in</w:t>
      </w:r>
      <w:r>
        <w:rPr>
          <w:i/>
          <w:spacing w:val="-25"/>
          <w:sz w:val="23"/>
        </w:rPr>
        <w:t> </w:t>
      </w:r>
      <w:r>
        <w:rPr>
          <w:i/>
          <w:sz w:val="23"/>
        </w:rPr>
        <w:t>Northern</w:t>
      </w:r>
      <w:r>
        <w:rPr>
          <w:i/>
          <w:spacing w:val="-26"/>
          <w:sz w:val="23"/>
        </w:rPr>
        <w:t> </w:t>
      </w:r>
      <w:r>
        <w:rPr>
          <w:i/>
          <w:sz w:val="23"/>
        </w:rPr>
        <w:t>Ireland:</w:t>
      </w:r>
      <w:r>
        <w:rPr>
          <w:i/>
          <w:spacing w:val="-24"/>
          <w:sz w:val="23"/>
        </w:rPr>
        <w:t> </w:t>
      </w:r>
      <w:r>
        <w:rPr>
          <w:i/>
          <w:sz w:val="23"/>
        </w:rPr>
        <w:t>The health</w:t>
      </w:r>
      <w:r>
        <w:rPr>
          <w:i/>
          <w:spacing w:val="-9"/>
          <w:sz w:val="23"/>
        </w:rPr>
        <w:t> </w:t>
      </w:r>
      <w:r>
        <w:rPr>
          <w:i/>
          <w:sz w:val="23"/>
        </w:rPr>
        <w:t>and</w:t>
      </w:r>
      <w:r>
        <w:rPr>
          <w:i/>
          <w:spacing w:val="-7"/>
          <w:sz w:val="23"/>
        </w:rPr>
        <w:t> </w:t>
      </w:r>
      <w:r>
        <w:rPr>
          <w:i/>
          <w:sz w:val="23"/>
        </w:rPr>
        <w:t>mental</w:t>
      </w:r>
      <w:r>
        <w:rPr>
          <w:i/>
          <w:spacing w:val="-8"/>
          <w:sz w:val="23"/>
        </w:rPr>
        <w:t> </w:t>
      </w:r>
      <w:r>
        <w:rPr>
          <w:i/>
          <w:sz w:val="23"/>
        </w:rPr>
        <w:t>health</w:t>
      </w:r>
      <w:r>
        <w:rPr>
          <w:i/>
          <w:spacing w:val="-11"/>
          <w:sz w:val="23"/>
        </w:rPr>
        <w:t> </w:t>
      </w:r>
      <w:r>
        <w:rPr>
          <w:i/>
          <w:sz w:val="23"/>
        </w:rPr>
        <w:t>care</w:t>
      </w:r>
      <w:r>
        <w:rPr>
          <w:i/>
          <w:spacing w:val="-9"/>
          <w:sz w:val="23"/>
        </w:rPr>
        <w:t> </w:t>
      </w:r>
      <w:r>
        <w:rPr>
          <w:i/>
          <w:sz w:val="23"/>
        </w:rPr>
        <w:t>systems</w:t>
      </w:r>
      <w:r>
        <w:rPr>
          <w:sz w:val="22"/>
        </w:rPr>
        <w:t>.</w:t>
      </w:r>
      <w:r>
        <w:rPr>
          <w:spacing w:val="-5"/>
          <w:sz w:val="22"/>
        </w:rPr>
        <w:t> </w:t>
      </w:r>
      <w:r>
        <w:rPr>
          <w:sz w:val="22"/>
        </w:rPr>
        <w:t>Belfast:</w:t>
      </w:r>
      <w:r>
        <w:rPr>
          <w:spacing w:val="-3"/>
          <w:sz w:val="22"/>
        </w:rPr>
        <w:t> </w:t>
      </w:r>
      <w:r>
        <w:rPr>
          <w:sz w:val="22"/>
        </w:rPr>
        <w:t>Safeguarding</w:t>
      </w:r>
      <w:r>
        <w:rPr>
          <w:spacing w:val="-4"/>
          <w:sz w:val="22"/>
        </w:rPr>
        <w:t> </w:t>
      </w:r>
      <w:r>
        <w:rPr>
          <w:sz w:val="22"/>
        </w:rPr>
        <w:t>Board</w:t>
      </w:r>
      <w:r>
        <w:rPr>
          <w:spacing w:val="-4"/>
          <w:sz w:val="22"/>
        </w:rPr>
        <w:t> </w:t>
      </w:r>
      <w:r>
        <w:rPr>
          <w:sz w:val="22"/>
        </w:rPr>
        <w:t>NI.</w:t>
      </w:r>
    </w:p>
    <w:p>
      <w:pPr>
        <w:pStyle w:val="BodyText"/>
        <w:spacing w:line="261" w:lineRule="exact" w:before="118"/>
        <w:ind w:left="119"/>
      </w:pPr>
      <w:r>
        <w:rPr/>
        <w:t>Bunting, L., Montgomery, L., Mooney, S., MacDonald, M., Coulter, S., Hayes, D., Davidson,</w:t>
      </w:r>
    </w:p>
    <w:p>
      <w:pPr>
        <w:spacing w:line="230" w:lineRule="auto" w:before="5"/>
        <w:ind w:left="120" w:right="134" w:hanging="1"/>
        <w:jc w:val="left"/>
        <w:rPr>
          <w:sz w:val="22"/>
        </w:rPr>
      </w:pPr>
      <w:r>
        <w:rPr>
          <w:sz w:val="22"/>
        </w:rPr>
        <w:t>G.</w:t>
      </w:r>
      <w:r>
        <w:rPr>
          <w:spacing w:val="-22"/>
          <w:sz w:val="22"/>
        </w:rPr>
        <w:t> </w:t>
      </w:r>
      <w:r>
        <w:rPr>
          <w:sz w:val="22"/>
        </w:rPr>
        <w:t>and</w:t>
      </w:r>
      <w:r>
        <w:rPr>
          <w:spacing w:val="-22"/>
          <w:sz w:val="22"/>
        </w:rPr>
        <w:t> </w:t>
      </w:r>
      <w:r>
        <w:rPr>
          <w:sz w:val="22"/>
        </w:rPr>
        <w:t>Forbes,</w:t>
      </w:r>
      <w:r>
        <w:rPr>
          <w:spacing w:val="-22"/>
          <w:sz w:val="22"/>
        </w:rPr>
        <w:t> </w:t>
      </w:r>
      <w:r>
        <w:rPr>
          <w:sz w:val="22"/>
        </w:rPr>
        <w:t>T.</w:t>
      </w:r>
      <w:r>
        <w:rPr>
          <w:spacing w:val="-22"/>
          <w:sz w:val="22"/>
        </w:rPr>
        <w:t> </w:t>
      </w:r>
      <w:r>
        <w:rPr>
          <w:sz w:val="22"/>
        </w:rPr>
        <w:t>(2018e).</w:t>
      </w:r>
      <w:r>
        <w:rPr>
          <w:spacing w:val="-22"/>
          <w:sz w:val="22"/>
        </w:rPr>
        <w:t> </w:t>
      </w:r>
      <w:r>
        <w:rPr>
          <w:i/>
          <w:sz w:val="23"/>
        </w:rPr>
        <w:t>Developing</w:t>
      </w:r>
      <w:r>
        <w:rPr>
          <w:i/>
          <w:spacing w:val="-27"/>
          <w:sz w:val="23"/>
        </w:rPr>
        <w:t> </w:t>
      </w:r>
      <w:r>
        <w:rPr>
          <w:i/>
          <w:sz w:val="23"/>
        </w:rPr>
        <w:t>trauma</w:t>
      </w:r>
      <w:r>
        <w:rPr>
          <w:i/>
          <w:spacing w:val="-26"/>
          <w:sz w:val="23"/>
        </w:rPr>
        <w:t> </w:t>
      </w:r>
      <w:r>
        <w:rPr>
          <w:i/>
          <w:sz w:val="23"/>
        </w:rPr>
        <w:t>informed</w:t>
      </w:r>
      <w:r>
        <w:rPr>
          <w:i/>
          <w:spacing w:val="-25"/>
          <w:sz w:val="23"/>
        </w:rPr>
        <w:t> </w:t>
      </w:r>
      <w:r>
        <w:rPr>
          <w:i/>
          <w:sz w:val="23"/>
        </w:rPr>
        <w:t>practice</w:t>
      </w:r>
      <w:r>
        <w:rPr>
          <w:i/>
          <w:spacing w:val="-26"/>
          <w:sz w:val="23"/>
        </w:rPr>
        <w:t> </w:t>
      </w:r>
      <w:r>
        <w:rPr>
          <w:i/>
          <w:sz w:val="23"/>
        </w:rPr>
        <w:t>in</w:t>
      </w:r>
      <w:r>
        <w:rPr>
          <w:i/>
          <w:spacing w:val="-26"/>
          <w:sz w:val="23"/>
        </w:rPr>
        <w:t> </w:t>
      </w:r>
      <w:r>
        <w:rPr>
          <w:i/>
          <w:sz w:val="23"/>
        </w:rPr>
        <w:t>Northern</w:t>
      </w:r>
      <w:r>
        <w:rPr>
          <w:i/>
          <w:spacing w:val="-25"/>
          <w:sz w:val="23"/>
        </w:rPr>
        <w:t> </w:t>
      </w:r>
      <w:r>
        <w:rPr>
          <w:i/>
          <w:sz w:val="23"/>
        </w:rPr>
        <w:t>Ireland:</w:t>
      </w:r>
      <w:r>
        <w:rPr>
          <w:i/>
          <w:spacing w:val="-25"/>
          <w:sz w:val="23"/>
        </w:rPr>
        <w:t> </w:t>
      </w:r>
      <w:r>
        <w:rPr>
          <w:i/>
          <w:sz w:val="23"/>
        </w:rPr>
        <w:t>Key Messages. </w:t>
      </w:r>
      <w:r>
        <w:rPr>
          <w:sz w:val="22"/>
        </w:rPr>
        <w:t>Belfast: Safeguarding Board</w:t>
      </w:r>
      <w:r>
        <w:rPr>
          <w:spacing w:val="-5"/>
          <w:sz w:val="22"/>
        </w:rPr>
        <w:t> </w:t>
      </w:r>
      <w:r>
        <w:rPr>
          <w:sz w:val="22"/>
        </w:rPr>
        <w:t>NI.</w:t>
      </w:r>
    </w:p>
    <w:p>
      <w:pPr>
        <w:pStyle w:val="BodyText"/>
        <w:spacing w:before="118"/>
        <w:ind w:left="120" w:right="988"/>
      </w:pPr>
      <w:r>
        <w:rPr/>
        <w:t>Bunting, L., Montgomery, L., Mooney, S., MacDonald, M., Coulter, S., Hayes, D. and Davidson, G. (2019b). Trauma informed child welfare systems—A rapid evidence</w:t>
      </w:r>
    </w:p>
    <w:p>
      <w:pPr>
        <w:spacing w:line="269" w:lineRule="exact" w:before="0"/>
        <w:ind w:left="120" w:right="0" w:firstLine="0"/>
        <w:jc w:val="left"/>
        <w:rPr>
          <w:sz w:val="22"/>
        </w:rPr>
      </w:pPr>
      <w:r>
        <w:rPr>
          <w:sz w:val="22"/>
        </w:rPr>
        <w:t>review. </w:t>
      </w:r>
      <w:r>
        <w:rPr>
          <w:i/>
          <w:sz w:val="23"/>
        </w:rPr>
        <w:t>International Journal of Environmental Research and Public Health</w:t>
      </w:r>
      <w:r>
        <w:rPr>
          <w:sz w:val="22"/>
        </w:rPr>
        <w:t>, </w:t>
      </w:r>
      <w:r>
        <w:rPr>
          <w:i/>
          <w:sz w:val="23"/>
        </w:rPr>
        <w:t>16</w:t>
      </w:r>
      <w:r>
        <w:rPr>
          <w:sz w:val="22"/>
        </w:rPr>
        <w:t>(13), 2365.</w:t>
      </w:r>
    </w:p>
    <w:p>
      <w:pPr>
        <w:pStyle w:val="BodyText"/>
        <w:spacing w:before="116"/>
        <w:ind w:left="120" w:right="648"/>
      </w:pPr>
      <w:r>
        <w:rPr/>
        <w:t>Cusack, P., McAndrew, S., Cusack, F. and Warne, T. (2016). ‘Restraining good practice: reviewing evidence of the effects of restraint from the perspective of service users and</w:t>
      </w:r>
    </w:p>
    <w:p>
      <w:pPr>
        <w:spacing w:after="0"/>
        <w:sectPr>
          <w:pgSz w:w="11910" w:h="16840"/>
          <w:pgMar w:header="0" w:footer="775" w:top="1340" w:bottom="960" w:left="1320" w:right="1300"/>
        </w:sectPr>
      </w:pPr>
    </w:p>
    <w:p>
      <w:pPr>
        <w:spacing w:line="230" w:lineRule="auto" w:before="101"/>
        <w:ind w:left="120" w:right="134" w:firstLine="0"/>
        <w:jc w:val="left"/>
        <w:rPr>
          <w:sz w:val="22"/>
        </w:rPr>
      </w:pPr>
      <w:r>
        <w:rPr>
          <w:sz w:val="22"/>
        </w:rPr>
        <w:t>mental</w:t>
      </w:r>
      <w:r>
        <w:rPr>
          <w:spacing w:val="-13"/>
          <w:sz w:val="22"/>
        </w:rPr>
        <w:t> </w:t>
      </w:r>
      <w:r>
        <w:rPr>
          <w:sz w:val="22"/>
        </w:rPr>
        <w:t>health</w:t>
      </w:r>
      <w:r>
        <w:rPr>
          <w:spacing w:val="-13"/>
          <w:sz w:val="22"/>
        </w:rPr>
        <w:t> </w:t>
      </w:r>
      <w:r>
        <w:rPr>
          <w:sz w:val="22"/>
        </w:rPr>
        <w:t>professionals</w:t>
      </w:r>
      <w:r>
        <w:rPr>
          <w:spacing w:val="-13"/>
          <w:sz w:val="22"/>
        </w:rPr>
        <w:t> </w:t>
      </w:r>
      <w:r>
        <w:rPr>
          <w:sz w:val="22"/>
        </w:rPr>
        <w:t>in</w:t>
      </w:r>
      <w:r>
        <w:rPr>
          <w:spacing w:val="-13"/>
          <w:sz w:val="22"/>
        </w:rPr>
        <w:t> </w:t>
      </w:r>
      <w:r>
        <w:rPr>
          <w:sz w:val="22"/>
        </w:rPr>
        <w:t>the</w:t>
      </w:r>
      <w:r>
        <w:rPr>
          <w:spacing w:val="-14"/>
          <w:sz w:val="22"/>
        </w:rPr>
        <w:t> </w:t>
      </w:r>
      <w:r>
        <w:rPr>
          <w:sz w:val="22"/>
        </w:rPr>
        <w:t>United</w:t>
      </w:r>
      <w:r>
        <w:rPr>
          <w:spacing w:val="-14"/>
          <w:sz w:val="22"/>
        </w:rPr>
        <w:t> </w:t>
      </w:r>
      <w:r>
        <w:rPr>
          <w:sz w:val="22"/>
        </w:rPr>
        <w:t>Kingdom</w:t>
      </w:r>
      <w:r>
        <w:rPr>
          <w:spacing w:val="-13"/>
          <w:sz w:val="22"/>
        </w:rPr>
        <w:t> </w:t>
      </w:r>
      <w:r>
        <w:rPr>
          <w:sz w:val="22"/>
        </w:rPr>
        <w:t>(UK)’,</w:t>
      </w:r>
      <w:r>
        <w:rPr>
          <w:spacing w:val="-12"/>
          <w:sz w:val="22"/>
        </w:rPr>
        <w:t> </w:t>
      </w:r>
      <w:r>
        <w:rPr>
          <w:i/>
          <w:sz w:val="23"/>
        </w:rPr>
        <w:t>International</w:t>
      </w:r>
      <w:r>
        <w:rPr>
          <w:i/>
          <w:spacing w:val="-16"/>
          <w:sz w:val="23"/>
        </w:rPr>
        <w:t> </w:t>
      </w:r>
      <w:r>
        <w:rPr>
          <w:i/>
          <w:sz w:val="23"/>
        </w:rPr>
        <w:t>Journal</w:t>
      </w:r>
      <w:r>
        <w:rPr>
          <w:i/>
          <w:spacing w:val="-16"/>
          <w:sz w:val="23"/>
        </w:rPr>
        <w:t> </w:t>
      </w:r>
      <w:r>
        <w:rPr>
          <w:i/>
          <w:sz w:val="23"/>
        </w:rPr>
        <w:t>of</w:t>
      </w:r>
      <w:r>
        <w:rPr>
          <w:i/>
          <w:spacing w:val="-17"/>
          <w:sz w:val="23"/>
        </w:rPr>
        <w:t> </w:t>
      </w:r>
      <w:r>
        <w:rPr>
          <w:i/>
          <w:sz w:val="23"/>
        </w:rPr>
        <w:t>Law</w:t>
      </w:r>
      <w:r>
        <w:rPr>
          <w:i/>
          <w:spacing w:val="-16"/>
          <w:sz w:val="23"/>
        </w:rPr>
        <w:t> </w:t>
      </w:r>
      <w:r>
        <w:rPr>
          <w:i/>
          <w:sz w:val="23"/>
        </w:rPr>
        <w:t>and Psychiatry</w:t>
      </w:r>
      <w:r>
        <w:rPr>
          <w:sz w:val="22"/>
        </w:rPr>
        <w:t>, 46, pp.</w:t>
      </w:r>
      <w:r>
        <w:rPr>
          <w:spacing w:val="-2"/>
          <w:sz w:val="22"/>
        </w:rPr>
        <w:t> </w:t>
      </w:r>
      <w:r>
        <w:rPr>
          <w:sz w:val="22"/>
        </w:rPr>
        <w:t>20-26.</w:t>
      </w:r>
    </w:p>
    <w:p>
      <w:pPr>
        <w:pStyle w:val="BodyText"/>
        <w:spacing w:line="232" w:lineRule="auto" w:before="125"/>
        <w:ind w:left="120" w:right="237"/>
      </w:pPr>
      <w:r>
        <w:rPr/>
        <w:t>Dallaire, D. H. (2007). ‘Incarcerated mothers and fathers: A comparison of risks for children and families’, </w:t>
      </w:r>
      <w:r>
        <w:rPr>
          <w:i/>
          <w:sz w:val="23"/>
        </w:rPr>
        <w:t>Family Relations</w:t>
      </w:r>
      <w:r>
        <w:rPr/>
        <w:t>, 56(5), pp. 440-453.</w:t>
      </w:r>
    </w:p>
    <w:p>
      <w:pPr>
        <w:spacing w:line="230" w:lineRule="auto" w:before="116"/>
        <w:ind w:left="119" w:right="134" w:firstLine="0"/>
        <w:jc w:val="left"/>
        <w:rPr>
          <w:sz w:val="22"/>
        </w:rPr>
      </w:pPr>
      <w:r>
        <w:rPr>
          <w:sz w:val="22"/>
        </w:rPr>
        <w:t>Department</w:t>
      </w:r>
      <w:r>
        <w:rPr>
          <w:spacing w:val="-14"/>
          <w:sz w:val="22"/>
        </w:rPr>
        <w:t> </w:t>
      </w:r>
      <w:r>
        <w:rPr>
          <w:sz w:val="22"/>
        </w:rPr>
        <w:t>of</w:t>
      </w:r>
      <w:r>
        <w:rPr>
          <w:spacing w:val="-15"/>
          <w:sz w:val="22"/>
        </w:rPr>
        <w:t> </w:t>
      </w:r>
      <w:r>
        <w:rPr>
          <w:sz w:val="22"/>
        </w:rPr>
        <w:t>Health</w:t>
      </w:r>
      <w:r>
        <w:rPr>
          <w:spacing w:val="-15"/>
          <w:sz w:val="22"/>
        </w:rPr>
        <w:t> </w:t>
      </w:r>
      <w:r>
        <w:rPr>
          <w:sz w:val="22"/>
        </w:rPr>
        <w:t>and</w:t>
      </w:r>
      <w:r>
        <w:rPr>
          <w:spacing w:val="-14"/>
          <w:sz w:val="22"/>
        </w:rPr>
        <w:t> </w:t>
      </w:r>
      <w:r>
        <w:rPr>
          <w:sz w:val="22"/>
        </w:rPr>
        <w:t>Department</w:t>
      </w:r>
      <w:r>
        <w:rPr>
          <w:spacing w:val="-14"/>
          <w:sz w:val="22"/>
        </w:rPr>
        <w:t> </w:t>
      </w:r>
      <w:r>
        <w:rPr>
          <w:sz w:val="22"/>
        </w:rPr>
        <w:t>of</w:t>
      </w:r>
      <w:r>
        <w:rPr>
          <w:spacing w:val="-14"/>
          <w:sz w:val="22"/>
        </w:rPr>
        <w:t> </w:t>
      </w:r>
      <w:r>
        <w:rPr>
          <w:sz w:val="22"/>
        </w:rPr>
        <w:t>Justice,</w:t>
      </w:r>
      <w:r>
        <w:rPr>
          <w:spacing w:val="-14"/>
          <w:sz w:val="22"/>
        </w:rPr>
        <w:t> </w:t>
      </w:r>
      <w:r>
        <w:rPr>
          <w:sz w:val="22"/>
        </w:rPr>
        <w:t>(2019).</w:t>
      </w:r>
      <w:r>
        <w:rPr>
          <w:spacing w:val="-14"/>
          <w:sz w:val="22"/>
        </w:rPr>
        <w:t> </w:t>
      </w:r>
      <w:r>
        <w:rPr>
          <w:i/>
          <w:sz w:val="23"/>
        </w:rPr>
        <w:t>Improving</w:t>
      </w:r>
      <w:r>
        <w:rPr>
          <w:i/>
          <w:spacing w:val="-17"/>
          <w:sz w:val="23"/>
        </w:rPr>
        <w:t> </w:t>
      </w:r>
      <w:r>
        <w:rPr>
          <w:i/>
          <w:sz w:val="23"/>
        </w:rPr>
        <w:t>Health</w:t>
      </w:r>
      <w:r>
        <w:rPr>
          <w:i/>
          <w:spacing w:val="-18"/>
          <w:sz w:val="23"/>
        </w:rPr>
        <w:t> </w:t>
      </w:r>
      <w:r>
        <w:rPr>
          <w:i/>
          <w:sz w:val="23"/>
        </w:rPr>
        <w:t>within</w:t>
      </w:r>
      <w:r>
        <w:rPr>
          <w:i/>
          <w:spacing w:val="-18"/>
          <w:sz w:val="23"/>
        </w:rPr>
        <w:t> </w:t>
      </w:r>
      <w:r>
        <w:rPr>
          <w:i/>
          <w:sz w:val="23"/>
        </w:rPr>
        <w:t>Criminal Justice: A strategy and action plan to ensure that children young people and adults in contact</w:t>
      </w:r>
      <w:r>
        <w:rPr>
          <w:i/>
          <w:spacing w:val="-27"/>
          <w:sz w:val="23"/>
        </w:rPr>
        <w:t> </w:t>
      </w:r>
      <w:r>
        <w:rPr>
          <w:i/>
          <w:sz w:val="23"/>
        </w:rPr>
        <w:t>with</w:t>
      </w:r>
      <w:r>
        <w:rPr>
          <w:i/>
          <w:spacing w:val="-28"/>
          <w:sz w:val="23"/>
        </w:rPr>
        <w:t> </w:t>
      </w:r>
      <w:r>
        <w:rPr>
          <w:i/>
          <w:sz w:val="23"/>
        </w:rPr>
        <w:t>the</w:t>
      </w:r>
      <w:r>
        <w:rPr>
          <w:i/>
          <w:spacing w:val="-28"/>
          <w:sz w:val="23"/>
        </w:rPr>
        <w:t> </w:t>
      </w:r>
      <w:r>
        <w:rPr>
          <w:i/>
          <w:sz w:val="23"/>
        </w:rPr>
        <w:t>criminal</w:t>
      </w:r>
      <w:r>
        <w:rPr>
          <w:i/>
          <w:spacing w:val="-29"/>
          <w:sz w:val="23"/>
        </w:rPr>
        <w:t> </w:t>
      </w:r>
      <w:r>
        <w:rPr>
          <w:i/>
          <w:sz w:val="23"/>
        </w:rPr>
        <w:t>justice</w:t>
      </w:r>
      <w:r>
        <w:rPr>
          <w:i/>
          <w:spacing w:val="-28"/>
          <w:sz w:val="23"/>
        </w:rPr>
        <w:t> </w:t>
      </w:r>
      <w:r>
        <w:rPr>
          <w:i/>
          <w:sz w:val="23"/>
        </w:rPr>
        <w:t>system</w:t>
      </w:r>
      <w:r>
        <w:rPr>
          <w:i/>
          <w:spacing w:val="-28"/>
          <w:sz w:val="23"/>
        </w:rPr>
        <w:t> </w:t>
      </w:r>
      <w:r>
        <w:rPr>
          <w:i/>
          <w:sz w:val="23"/>
        </w:rPr>
        <w:t>are</w:t>
      </w:r>
      <w:r>
        <w:rPr>
          <w:i/>
          <w:spacing w:val="-28"/>
          <w:sz w:val="23"/>
        </w:rPr>
        <w:t> </w:t>
      </w:r>
      <w:r>
        <w:rPr>
          <w:i/>
          <w:sz w:val="23"/>
        </w:rPr>
        <w:t>healthier,</w:t>
      </w:r>
      <w:r>
        <w:rPr>
          <w:i/>
          <w:spacing w:val="-27"/>
          <w:sz w:val="23"/>
        </w:rPr>
        <w:t> </w:t>
      </w:r>
      <w:r>
        <w:rPr>
          <w:i/>
          <w:sz w:val="23"/>
        </w:rPr>
        <w:t>safer</w:t>
      </w:r>
      <w:r>
        <w:rPr>
          <w:i/>
          <w:spacing w:val="-27"/>
          <w:sz w:val="23"/>
        </w:rPr>
        <w:t> </w:t>
      </w:r>
      <w:r>
        <w:rPr>
          <w:i/>
          <w:sz w:val="23"/>
        </w:rPr>
        <w:t>and</w:t>
      </w:r>
      <w:r>
        <w:rPr>
          <w:i/>
          <w:spacing w:val="-27"/>
          <w:sz w:val="23"/>
        </w:rPr>
        <w:t> </w:t>
      </w:r>
      <w:r>
        <w:rPr>
          <w:i/>
          <w:sz w:val="23"/>
        </w:rPr>
        <w:t>less</w:t>
      </w:r>
      <w:r>
        <w:rPr>
          <w:i/>
          <w:spacing w:val="-27"/>
          <w:sz w:val="23"/>
        </w:rPr>
        <w:t> </w:t>
      </w:r>
      <w:r>
        <w:rPr>
          <w:i/>
          <w:sz w:val="23"/>
        </w:rPr>
        <w:t>likely</w:t>
      </w:r>
      <w:r>
        <w:rPr>
          <w:i/>
          <w:spacing w:val="-29"/>
          <w:sz w:val="23"/>
        </w:rPr>
        <w:t> </w:t>
      </w:r>
      <w:r>
        <w:rPr>
          <w:i/>
          <w:sz w:val="23"/>
        </w:rPr>
        <w:t>to</w:t>
      </w:r>
      <w:r>
        <w:rPr>
          <w:i/>
          <w:spacing w:val="-29"/>
          <w:sz w:val="23"/>
        </w:rPr>
        <w:t> </w:t>
      </w:r>
      <w:r>
        <w:rPr>
          <w:i/>
          <w:sz w:val="23"/>
        </w:rPr>
        <w:t>be</w:t>
      </w:r>
      <w:r>
        <w:rPr>
          <w:i/>
          <w:spacing w:val="-28"/>
          <w:sz w:val="23"/>
        </w:rPr>
        <w:t> </w:t>
      </w:r>
      <w:r>
        <w:rPr>
          <w:i/>
          <w:sz w:val="23"/>
        </w:rPr>
        <w:t>involved</w:t>
      </w:r>
      <w:r>
        <w:rPr>
          <w:i/>
          <w:spacing w:val="-27"/>
          <w:sz w:val="23"/>
        </w:rPr>
        <w:t> </w:t>
      </w:r>
      <w:r>
        <w:rPr>
          <w:i/>
          <w:sz w:val="23"/>
        </w:rPr>
        <w:t>in offending behaviour</w:t>
      </w:r>
      <w:r>
        <w:rPr>
          <w:sz w:val="22"/>
        </w:rPr>
        <w:t>. DoH and</w:t>
      </w:r>
      <w:r>
        <w:rPr>
          <w:spacing w:val="-5"/>
          <w:sz w:val="22"/>
        </w:rPr>
        <w:t> </w:t>
      </w:r>
      <w:r>
        <w:rPr>
          <w:sz w:val="22"/>
        </w:rPr>
        <w:t>DoJ.</w:t>
      </w:r>
    </w:p>
    <w:p>
      <w:pPr>
        <w:pStyle w:val="BodyText"/>
        <w:spacing w:line="235" w:lineRule="auto" w:before="122"/>
        <w:ind w:left="119" w:right="423"/>
      </w:pPr>
      <w:r>
        <w:rPr/>
        <w:t>DeMatteo, D., LaDuke, C., Locklair, B.R. and Heilbrun, K. (2013). ‘Community-based alternatives for justice-involved individuals with severe mental illness: Diversion, problem- solving courts, and reentry’, </w:t>
      </w:r>
      <w:r>
        <w:rPr>
          <w:i/>
          <w:sz w:val="23"/>
        </w:rPr>
        <w:t>Journal of Criminal Justice</w:t>
      </w:r>
      <w:r>
        <w:rPr/>
        <w:t>, 41(2), pp. 64-71.</w:t>
      </w:r>
    </w:p>
    <w:p>
      <w:pPr>
        <w:pStyle w:val="BodyText"/>
        <w:spacing w:line="237" w:lineRule="auto" w:before="123"/>
        <w:ind w:left="120" w:right="147"/>
      </w:pPr>
      <w:r>
        <w:rPr/>
        <w:t>D'Souza, S., Lane, R., Jacob, J., Livanou, M., Riches, W., Rogers, A., ... and Edbrooke- Childs, J. (2021). ‘Realist Process Evaluation of the implementation and impact of an organisational cultural transformation programme in the Children and Young People's Secure Estate (CYPSE) in England: study protocol’, </w:t>
      </w:r>
      <w:r>
        <w:rPr>
          <w:i/>
          <w:sz w:val="23"/>
        </w:rPr>
        <w:t>BMJ open</w:t>
      </w:r>
      <w:r>
        <w:rPr/>
        <w:t>, 11(5), e045680.</w:t>
      </w:r>
    </w:p>
    <w:p>
      <w:pPr>
        <w:spacing w:line="237" w:lineRule="auto" w:before="107"/>
        <w:ind w:left="119" w:right="339" w:firstLine="0"/>
        <w:jc w:val="left"/>
        <w:rPr>
          <w:sz w:val="22"/>
        </w:rPr>
      </w:pPr>
      <w:r>
        <w:rPr>
          <w:sz w:val="22"/>
        </w:rPr>
        <w:t>Durcan,</w:t>
      </w:r>
      <w:r>
        <w:rPr>
          <w:spacing w:val="-10"/>
          <w:sz w:val="22"/>
        </w:rPr>
        <w:t> </w:t>
      </w:r>
      <w:r>
        <w:rPr>
          <w:sz w:val="22"/>
        </w:rPr>
        <w:t>G.,</w:t>
      </w:r>
      <w:r>
        <w:rPr>
          <w:spacing w:val="-9"/>
          <w:sz w:val="22"/>
        </w:rPr>
        <w:t> </w:t>
      </w:r>
      <w:r>
        <w:rPr>
          <w:sz w:val="22"/>
        </w:rPr>
        <w:t>Saunders,</w:t>
      </w:r>
      <w:r>
        <w:rPr>
          <w:spacing w:val="-9"/>
          <w:sz w:val="22"/>
        </w:rPr>
        <w:t> </w:t>
      </w:r>
      <w:r>
        <w:rPr>
          <w:sz w:val="22"/>
        </w:rPr>
        <w:t>A.,</w:t>
      </w:r>
      <w:r>
        <w:rPr>
          <w:spacing w:val="-9"/>
          <w:sz w:val="22"/>
        </w:rPr>
        <w:t> </w:t>
      </w:r>
      <w:r>
        <w:rPr>
          <w:sz w:val="22"/>
        </w:rPr>
        <w:t>Gadsby,</w:t>
      </w:r>
      <w:r>
        <w:rPr>
          <w:spacing w:val="-10"/>
          <w:sz w:val="22"/>
        </w:rPr>
        <w:t> </w:t>
      </w:r>
      <w:r>
        <w:rPr>
          <w:sz w:val="22"/>
        </w:rPr>
        <w:t>B.</w:t>
      </w:r>
      <w:r>
        <w:rPr>
          <w:spacing w:val="-11"/>
          <w:sz w:val="22"/>
        </w:rPr>
        <w:t> </w:t>
      </w:r>
      <w:r>
        <w:rPr>
          <w:sz w:val="22"/>
        </w:rPr>
        <w:t>and</w:t>
      </w:r>
      <w:r>
        <w:rPr>
          <w:spacing w:val="-10"/>
          <w:sz w:val="22"/>
        </w:rPr>
        <w:t> </w:t>
      </w:r>
      <w:r>
        <w:rPr>
          <w:sz w:val="22"/>
        </w:rPr>
        <w:t>Hazard,</w:t>
      </w:r>
      <w:r>
        <w:rPr>
          <w:spacing w:val="-11"/>
          <w:sz w:val="22"/>
        </w:rPr>
        <w:t> </w:t>
      </w:r>
      <w:r>
        <w:rPr>
          <w:sz w:val="22"/>
        </w:rPr>
        <w:t>A.</w:t>
      </w:r>
      <w:r>
        <w:rPr>
          <w:spacing w:val="-10"/>
          <w:sz w:val="22"/>
        </w:rPr>
        <w:t> </w:t>
      </w:r>
      <w:r>
        <w:rPr>
          <w:sz w:val="22"/>
        </w:rPr>
        <w:t>(2014).</w:t>
      </w:r>
      <w:r>
        <w:rPr>
          <w:spacing w:val="-11"/>
          <w:sz w:val="22"/>
        </w:rPr>
        <w:t> </w:t>
      </w:r>
      <w:r>
        <w:rPr>
          <w:i/>
          <w:sz w:val="23"/>
        </w:rPr>
        <w:t>The</w:t>
      </w:r>
      <w:r>
        <w:rPr>
          <w:i/>
          <w:spacing w:val="-14"/>
          <w:sz w:val="23"/>
        </w:rPr>
        <w:t> </w:t>
      </w:r>
      <w:r>
        <w:rPr>
          <w:i/>
          <w:sz w:val="23"/>
        </w:rPr>
        <w:t>Bradley</w:t>
      </w:r>
      <w:r>
        <w:rPr>
          <w:i/>
          <w:spacing w:val="-15"/>
          <w:sz w:val="23"/>
        </w:rPr>
        <w:t> </w:t>
      </w:r>
      <w:r>
        <w:rPr>
          <w:i/>
          <w:sz w:val="23"/>
        </w:rPr>
        <w:t>Report</w:t>
      </w:r>
      <w:r>
        <w:rPr>
          <w:i/>
          <w:spacing w:val="-12"/>
          <w:sz w:val="23"/>
        </w:rPr>
        <w:t> </w:t>
      </w:r>
      <w:r>
        <w:rPr>
          <w:i/>
          <w:sz w:val="23"/>
        </w:rPr>
        <w:t>five</w:t>
      </w:r>
      <w:r>
        <w:rPr>
          <w:i/>
          <w:spacing w:val="-16"/>
          <w:sz w:val="23"/>
        </w:rPr>
        <w:t> </w:t>
      </w:r>
      <w:r>
        <w:rPr>
          <w:i/>
          <w:sz w:val="23"/>
        </w:rPr>
        <w:t>years on:</w:t>
      </w:r>
      <w:r>
        <w:rPr>
          <w:i/>
          <w:spacing w:val="-27"/>
          <w:sz w:val="23"/>
        </w:rPr>
        <w:t> </w:t>
      </w:r>
      <w:r>
        <w:rPr>
          <w:i/>
          <w:sz w:val="23"/>
        </w:rPr>
        <w:t>An</w:t>
      </w:r>
      <w:r>
        <w:rPr>
          <w:i/>
          <w:spacing w:val="-26"/>
          <w:sz w:val="23"/>
        </w:rPr>
        <w:t> </w:t>
      </w:r>
      <w:r>
        <w:rPr>
          <w:i/>
          <w:sz w:val="23"/>
        </w:rPr>
        <w:t>independent</w:t>
      </w:r>
      <w:r>
        <w:rPr>
          <w:i/>
          <w:spacing w:val="-26"/>
          <w:sz w:val="23"/>
        </w:rPr>
        <w:t> </w:t>
      </w:r>
      <w:r>
        <w:rPr>
          <w:i/>
          <w:sz w:val="23"/>
        </w:rPr>
        <w:t>review</w:t>
      </w:r>
      <w:r>
        <w:rPr>
          <w:i/>
          <w:spacing w:val="-28"/>
          <w:sz w:val="23"/>
        </w:rPr>
        <w:t> </w:t>
      </w:r>
      <w:r>
        <w:rPr>
          <w:i/>
          <w:sz w:val="23"/>
        </w:rPr>
        <w:t>of</w:t>
      </w:r>
      <w:r>
        <w:rPr>
          <w:i/>
          <w:spacing w:val="-27"/>
          <w:sz w:val="23"/>
        </w:rPr>
        <w:t> </w:t>
      </w:r>
      <w:r>
        <w:rPr>
          <w:i/>
          <w:sz w:val="23"/>
        </w:rPr>
        <w:t>progress</w:t>
      </w:r>
      <w:r>
        <w:rPr>
          <w:i/>
          <w:spacing w:val="-27"/>
          <w:sz w:val="23"/>
        </w:rPr>
        <w:t> </w:t>
      </w:r>
      <w:r>
        <w:rPr>
          <w:i/>
          <w:sz w:val="23"/>
        </w:rPr>
        <w:t>to</w:t>
      </w:r>
      <w:r>
        <w:rPr>
          <w:i/>
          <w:spacing w:val="-28"/>
          <w:sz w:val="23"/>
        </w:rPr>
        <w:t> </w:t>
      </w:r>
      <w:r>
        <w:rPr>
          <w:i/>
          <w:sz w:val="23"/>
        </w:rPr>
        <w:t>date</w:t>
      </w:r>
      <w:r>
        <w:rPr>
          <w:i/>
          <w:spacing w:val="-27"/>
          <w:sz w:val="23"/>
        </w:rPr>
        <w:t> </w:t>
      </w:r>
      <w:r>
        <w:rPr>
          <w:i/>
          <w:sz w:val="23"/>
        </w:rPr>
        <w:t>and</w:t>
      </w:r>
      <w:r>
        <w:rPr>
          <w:i/>
          <w:spacing w:val="-26"/>
          <w:sz w:val="23"/>
        </w:rPr>
        <w:t> </w:t>
      </w:r>
      <w:r>
        <w:rPr>
          <w:i/>
          <w:sz w:val="23"/>
        </w:rPr>
        <w:t>priorities</w:t>
      </w:r>
      <w:r>
        <w:rPr>
          <w:i/>
          <w:spacing w:val="-27"/>
          <w:sz w:val="23"/>
        </w:rPr>
        <w:t> </w:t>
      </w:r>
      <w:r>
        <w:rPr>
          <w:i/>
          <w:sz w:val="23"/>
        </w:rPr>
        <w:t>for</w:t>
      </w:r>
      <w:r>
        <w:rPr>
          <w:i/>
          <w:spacing w:val="-26"/>
          <w:sz w:val="23"/>
        </w:rPr>
        <w:t> </w:t>
      </w:r>
      <w:r>
        <w:rPr>
          <w:i/>
          <w:sz w:val="23"/>
        </w:rPr>
        <w:t>future</w:t>
      </w:r>
      <w:r>
        <w:rPr>
          <w:i/>
          <w:spacing w:val="-29"/>
          <w:sz w:val="23"/>
        </w:rPr>
        <w:t> </w:t>
      </w:r>
      <w:r>
        <w:rPr>
          <w:i/>
          <w:sz w:val="23"/>
        </w:rPr>
        <w:t>development.</w:t>
      </w:r>
      <w:r>
        <w:rPr>
          <w:i/>
          <w:spacing w:val="-26"/>
          <w:sz w:val="23"/>
        </w:rPr>
        <w:t> </w:t>
      </w:r>
      <w:r>
        <w:rPr>
          <w:sz w:val="22"/>
        </w:rPr>
        <w:t>The Bradley Commission and Centre for Mental Health. Available at: </w:t>
      </w:r>
      <w:hyperlink r:id="rId13">
        <w:r>
          <w:rPr>
            <w:color w:val="0000FF"/>
            <w:sz w:val="22"/>
            <w:u w:val="single" w:color="0000FF"/>
          </w:rPr>
          <w:t>http://www.mentalhealthchallenge.org.uk/library-files/MHC151-</w:t>
        </w:r>
      </w:hyperlink>
      <w:r>
        <w:rPr>
          <w:color w:val="0000FF"/>
          <w:sz w:val="22"/>
        </w:rPr>
        <w:t> </w:t>
      </w:r>
      <w:hyperlink r:id="rId13">
        <w:r>
          <w:rPr>
            <w:color w:val="0000FF"/>
            <w:sz w:val="22"/>
            <w:u w:val="single" w:color="0000FF"/>
          </w:rPr>
          <w:t>Bradley_report_five_years_on.pdf</w:t>
        </w:r>
      </w:hyperlink>
    </w:p>
    <w:p>
      <w:pPr>
        <w:spacing w:line="230" w:lineRule="auto" w:before="118"/>
        <w:ind w:left="119" w:right="134" w:firstLine="0"/>
        <w:jc w:val="left"/>
        <w:rPr>
          <w:sz w:val="22"/>
        </w:rPr>
      </w:pPr>
      <w:r>
        <w:rPr>
          <w:sz w:val="22"/>
        </w:rPr>
        <w:t>Farmer,</w:t>
      </w:r>
      <w:r>
        <w:rPr>
          <w:spacing w:val="-26"/>
          <w:sz w:val="22"/>
        </w:rPr>
        <w:t> </w:t>
      </w:r>
      <w:r>
        <w:rPr>
          <w:sz w:val="22"/>
        </w:rPr>
        <w:t>M.</w:t>
      </w:r>
      <w:r>
        <w:rPr>
          <w:spacing w:val="-25"/>
          <w:sz w:val="22"/>
        </w:rPr>
        <w:t> </w:t>
      </w:r>
      <w:r>
        <w:rPr>
          <w:sz w:val="22"/>
        </w:rPr>
        <w:t>(2017).</w:t>
      </w:r>
      <w:r>
        <w:rPr>
          <w:spacing w:val="-27"/>
          <w:sz w:val="22"/>
        </w:rPr>
        <w:t> </w:t>
      </w:r>
      <w:r>
        <w:rPr>
          <w:i/>
          <w:sz w:val="23"/>
        </w:rPr>
        <w:t>The</w:t>
      </w:r>
      <w:r>
        <w:rPr>
          <w:i/>
          <w:spacing w:val="-29"/>
          <w:sz w:val="23"/>
        </w:rPr>
        <w:t> </w:t>
      </w:r>
      <w:r>
        <w:rPr>
          <w:i/>
          <w:sz w:val="23"/>
        </w:rPr>
        <w:t>Importance</w:t>
      </w:r>
      <w:r>
        <w:rPr>
          <w:i/>
          <w:spacing w:val="-30"/>
          <w:sz w:val="23"/>
        </w:rPr>
        <w:t> </w:t>
      </w:r>
      <w:r>
        <w:rPr>
          <w:i/>
          <w:sz w:val="23"/>
        </w:rPr>
        <w:t>of</w:t>
      </w:r>
      <w:r>
        <w:rPr>
          <w:i/>
          <w:spacing w:val="-29"/>
          <w:sz w:val="23"/>
        </w:rPr>
        <w:t> </w:t>
      </w:r>
      <w:r>
        <w:rPr>
          <w:i/>
          <w:sz w:val="23"/>
        </w:rPr>
        <w:t>Strengthening</w:t>
      </w:r>
      <w:r>
        <w:rPr>
          <w:i/>
          <w:spacing w:val="-29"/>
          <w:sz w:val="23"/>
        </w:rPr>
        <w:t> </w:t>
      </w:r>
      <w:r>
        <w:rPr>
          <w:i/>
          <w:sz w:val="23"/>
        </w:rPr>
        <w:t>Prisoners'</w:t>
      </w:r>
      <w:r>
        <w:rPr>
          <w:i/>
          <w:spacing w:val="-29"/>
          <w:sz w:val="23"/>
        </w:rPr>
        <w:t> </w:t>
      </w:r>
      <w:r>
        <w:rPr>
          <w:i/>
          <w:sz w:val="23"/>
        </w:rPr>
        <w:t>Family</w:t>
      </w:r>
      <w:r>
        <w:rPr>
          <w:i/>
          <w:spacing w:val="-28"/>
          <w:sz w:val="23"/>
        </w:rPr>
        <w:t> </w:t>
      </w:r>
      <w:r>
        <w:rPr>
          <w:i/>
          <w:sz w:val="23"/>
        </w:rPr>
        <w:t>Ties</w:t>
      </w:r>
      <w:r>
        <w:rPr>
          <w:i/>
          <w:spacing w:val="-30"/>
          <w:sz w:val="23"/>
        </w:rPr>
        <w:t> </w:t>
      </w:r>
      <w:r>
        <w:rPr>
          <w:i/>
          <w:sz w:val="23"/>
        </w:rPr>
        <w:t>to</w:t>
      </w:r>
      <w:r>
        <w:rPr>
          <w:i/>
          <w:spacing w:val="-30"/>
          <w:sz w:val="23"/>
        </w:rPr>
        <w:t> </w:t>
      </w:r>
      <w:r>
        <w:rPr>
          <w:i/>
          <w:sz w:val="23"/>
        </w:rPr>
        <w:t>Prevent Reoffending</w:t>
      </w:r>
      <w:r>
        <w:rPr>
          <w:i/>
          <w:spacing w:val="-10"/>
          <w:sz w:val="23"/>
        </w:rPr>
        <w:t> </w:t>
      </w:r>
      <w:r>
        <w:rPr>
          <w:i/>
          <w:sz w:val="23"/>
        </w:rPr>
        <w:t>and</w:t>
      </w:r>
      <w:r>
        <w:rPr>
          <w:i/>
          <w:spacing w:val="-9"/>
          <w:sz w:val="23"/>
        </w:rPr>
        <w:t> </w:t>
      </w:r>
      <w:r>
        <w:rPr>
          <w:i/>
          <w:sz w:val="23"/>
        </w:rPr>
        <w:t>Reduce</w:t>
      </w:r>
      <w:r>
        <w:rPr>
          <w:i/>
          <w:spacing w:val="-13"/>
          <w:sz w:val="23"/>
        </w:rPr>
        <w:t> </w:t>
      </w:r>
      <w:r>
        <w:rPr>
          <w:i/>
          <w:sz w:val="23"/>
        </w:rPr>
        <w:t>Intergenerational</w:t>
      </w:r>
      <w:r>
        <w:rPr>
          <w:i/>
          <w:spacing w:val="-10"/>
          <w:sz w:val="23"/>
        </w:rPr>
        <w:t> </w:t>
      </w:r>
      <w:r>
        <w:rPr>
          <w:i/>
          <w:sz w:val="23"/>
        </w:rPr>
        <w:t>Crime</w:t>
      </w:r>
      <w:r>
        <w:rPr>
          <w:sz w:val="22"/>
        </w:rPr>
        <w:t>.</w:t>
      </w:r>
      <w:r>
        <w:rPr>
          <w:spacing w:val="-6"/>
          <w:sz w:val="22"/>
        </w:rPr>
        <w:t> </w:t>
      </w:r>
      <w:r>
        <w:rPr>
          <w:sz w:val="22"/>
        </w:rPr>
        <w:t>Ministry</w:t>
      </w:r>
      <w:r>
        <w:rPr>
          <w:spacing w:val="-9"/>
          <w:sz w:val="22"/>
        </w:rPr>
        <w:t> </w:t>
      </w:r>
      <w:r>
        <w:rPr>
          <w:sz w:val="22"/>
        </w:rPr>
        <w:t>of</w:t>
      </w:r>
      <w:r>
        <w:rPr>
          <w:spacing w:val="-7"/>
          <w:sz w:val="22"/>
        </w:rPr>
        <w:t> </w:t>
      </w:r>
      <w:r>
        <w:rPr>
          <w:sz w:val="22"/>
        </w:rPr>
        <w:t>Justice.</w:t>
      </w:r>
    </w:p>
    <w:p>
      <w:pPr>
        <w:spacing w:line="228" w:lineRule="auto" w:before="120"/>
        <w:ind w:left="120" w:right="971" w:firstLine="0"/>
        <w:jc w:val="left"/>
        <w:rPr>
          <w:i/>
          <w:sz w:val="23"/>
        </w:rPr>
      </w:pPr>
      <w:r>
        <w:rPr>
          <w:sz w:val="22"/>
        </w:rPr>
        <w:t>Farmer,</w:t>
      </w:r>
      <w:r>
        <w:rPr>
          <w:spacing w:val="-27"/>
          <w:sz w:val="22"/>
        </w:rPr>
        <w:t> </w:t>
      </w:r>
      <w:r>
        <w:rPr>
          <w:sz w:val="22"/>
        </w:rPr>
        <w:t>M.</w:t>
      </w:r>
      <w:r>
        <w:rPr>
          <w:spacing w:val="-27"/>
          <w:sz w:val="22"/>
        </w:rPr>
        <w:t> </w:t>
      </w:r>
      <w:r>
        <w:rPr>
          <w:sz w:val="22"/>
        </w:rPr>
        <w:t>(2019).</w:t>
      </w:r>
      <w:r>
        <w:rPr>
          <w:spacing w:val="-29"/>
          <w:sz w:val="22"/>
        </w:rPr>
        <w:t> </w:t>
      </w:r>
      <w:r>
        <w:rPr>
          <w:i/>
          <w:sz w:val="23"/>
        </w:rPr>
        <w:t>The</w:t>
      </w:r>
      <w:r>
        <w:rPr>
          <w:i/>
          <w:spacing w:val="-31"/>
          <w:sz w:val="23"/>
        </w:rPr>
        <w:t> </w:t>
      </w:r>
      <w:r>
        <w:rPr>
          <w:i/>
          <w:sz w:val="23"/>
        </w:rPr>
        <w:t>Importance</w:t>
      </w:r>
      <w:r>
        <w:rPr>
          <w:i/>
          <w:spacing w:val="-31"/>
          <w:sz w:val="23"/>
        </w:rPr>
        <w:t> </w:t>
      </w:r>
      <w:r>
        <w:rPr>
          <w:i/>
          <w:sz w:val="23"/>
        </w:rPr>
        <w:t>of</w:t>
      </w:r>
      <w:r>
        <w:rPr>
          <w:i/>
          <w:spacing w:val="-31"/>
          <w:sz w:val="23"/>
        </w:rPr>
        <w:t> </w:t>
      </w:r>
      <w:r>
        <w:rPr>
          <w:i/>
          <w:sz w:val="23"/>
        </w:rPr>
        <w:t>Strengthening</w:t>
      </w:r>
      <w:r>
        <w:rPr>
          <w:i/>
          <w:spacing w:val="-30"/>
          <w:sz w:val="23"/>
        </w:rPr>
        <w:t> </w:t>
      </w:r>
      <w:r>
        <w:rPr>
          <w:i/>
          <w:sz w:val="23"/>
        </w:rPr>
        <w:t>Female</w:t>
      </w:r>
      <w:r>
        <w:rPr>
          <w:i/>
          <w:spacing w:val="-31"/>
          <w:sz w:val="23"/>
        </w:rPr>
        <w:t> </w:t>
      </w:r>
      <w:r>
        <w:rPr>
          <w:i/>
          <w:sz w:val="23"/>
        </w:rPr>
        <w:t>Offenders’</w:t>
      </w:r>
      <w:r>
        <w:rPr>
          <w:i/>
          <w:spacing w:val="-31"/>
          <w:sz w:val="23"/>
        </w:rPr>
        <w:t> </w:t>
      </w:r>
      <w:r>
        <w:rPr>
          <w:i/>
          <w:sz w:val="23"/>
        </w:rPr>
        <w:t>Family</w:t>
      </w:r>
      <w:r>
        <w:rPr>
          <w:i/>
          <w:spacing w:val="-30"/>
          <w:sz w:val="23"/>
        </w:rPr>
        <w:t> </w:t>
      </w:r>
      <w:r>
        <w:rPr>
          <w:i/>
          <w:sz w:val="23"/>
        </w:rPr>
        <w:t>and other</w:t>
      </w:r>
      <w:r>
        <w:rPr>
          <w:i/>
          <w:spacing w:val="-30"/>
          <w:sz w:val="23"/>
        </w:rPr>
        <w:t> </w:t>
      </w:r>
      <w:r>
        <w:rPr>
          <w:i/>
          <w:sz w:val="23"/>
        </w:rPr>
        <w:t>Relationships</w:t>
      </w:r>
      <w:r>
        <w:rPr>
          <w:i/>
          <w:spacing w:val="-30"/>
          <w:sz w:val="23"/>
        </w:rPr>
        <w:t> </w:t>
      </w:r>
      <w:r>
        <w:rPr>
          <w:i/>
          <w:sz w:val="23"/>
        </w:rPr>
        <w:t>to</w:t>
      </w:r>
      <w:r>
        <w:rPr>
          <w:i/>
          <w:spacing w:val="-30"/>
          <w:sz w:val="23"/>
        </w:rPr>
        <w:t> </w:t>
      </w:r>
      <w:r>
        <w:rPr>
          <w:i/>
          <w:sz w:val="23"/>
        </w:rPr>
        <w:t>prevent</w:t>
      </w:r>
      <w:r>
        <w:rPr>
          <w:i/>
          <w:spacing w:val="-29"/>
          <w:sz w:val="23"/>
        </w:rPr>
        <w:t> </w:t>
      </w:r>
      <w:r>
        <w:rPr>
          <w:i/>
          <w:sz w:val="23"/>
        </w:rPr>
        <w:t>Reoffending</w:t>
      </w:r>
      <w:r>
        <w:rPr>
          <w:i/>
          <w:spacing w:val="-28"/>
          <w:sz w:val="23"/>
        </w:rPr>
        <w:t> </w:t>
      </w:r>
      <w:r>
        <w:rPr>
          <w:i/>
          <w:sz w:val="23"/>
        </w:rPr>
        <w:t>and</w:t>
      </w:r>
      <w:r>
        <w:rPr>
          <w:i/>
          <w:spacing w:val="-29"/>
          <w:sz w:val="23"/>
        </w:rPr>
        <w:t> </w:t>
      </w:r>
      <w:r>
        <w:rPr>
          <w:i/>
          <w:sz w:val="23"/>
        </w:rPr>
        <w:t>reduce</w:t>
      </w:r>
      <w:r>
        <w:rPr>
          <w:i/>
          <w:spacing w:val="-30"/>
          <w:sz w:val="23"/>
        </w:rPr>
        <w:t> </w:t>
      </w:r>
      <w:r>
        <w:rPr>
          <w:i/>
          <w:sz w:val="23"/>
        </w:rPr>
        <w:t>Intergenerational</w:t>
      </w:r>
      <w:r>
        <w:rPr>
          <w:i/>
          <w:spacing w:val="-29"/>
          <w:sz w:val="23"/>
        </w:rPr>
        <w:t> </w:t>
      </w:r>
      <w:r>
        <w:rPr>
          <w:i/>
          <w:sz w:val="23"/>
        </w:rPr>
        <w:t>Crime.</w:t>
      </w:r>
    </w:p>
    <w:p>
      <w:pPr>
        <w:pStyle w:val="BodyText"/>
        <w:spacing w:before="1"/>
        <w:ind w:left="119"/>
      </w:pPr>
      <w:r>
        <w:rPr/>
        <w:t>Ministry of Justice.</w:t>
      </w:r>
    </w:p>
    <w:p>
      <w:pPr>
        <w:spacing w:line="232" w:lineRule="auto" w:before="128"/>
        <w:ind w:left="120" w:right="510" w:firstLine="0"/>
        <w:jc w:val="left"/>
        <w:rPr>
          <w:sz w:val="22"/>
        </w:rPr>
      </w:pPr>
      <w:r>
        <w:rPr>
          <w:sz w:val="22"/>
        </w:rPr>
        <w:t>Farrington, D.P., Barnes, G.C. and Lambert, S. (1996). ‘The concentration of offending in families’, </w:t>
      </w:r>
      <w:r>
        <w:rPr>
          <w:i/>
          <w:sz w:val="23"/>
        </w:rPr>
        <w:t>Legal and Criminological Psychology</w:t>
      </w:r>
      <w:r>
        <w:rPr>
          <w:sz w:val="22"/>
        </w:rPr>
        <w:t>, 1(1), pp. 47-63.</w:t>
      </w:r>
    </w:p>
    <w:p>
      <w:pPr>
        <w:spacing w:line="230" w:lineRule="auto" w:before="116"/>
        <w:ind w:left="119" w:right="134" w:firstLine="0"/>
        <w:jc w:val="left"/>
        <w:rPr>
          <w:sz w:val="22"/>
        </w:rPr>
      </w:pPr>
      <w:r>
        <w:rPr>
          <w:sz w:val="22"/>
        </w:rPr>
        <w:t>Gains</w:t>
      </w:r>
      <w:r>
        <w:rPr>
          <w:spacing w:val="-26"/>
          <w:sz w:val="22"/>
        </w:rPr>
        <w:t> </w:t>
      </w:r>
      <w:r>
        <w:rPr>
          <w:sz w:val="22"/>
        </w:rPr>
        <w:t>Action</w:t>
      </w:r>
      <w:r>
        <w:rPr>
          <w:spacing w:val="-25"/>
          <w:sz w:val="22"/>
        </w:rPr>
        <w:t> </w:t>
      </w:r>
      <w:r>
        <w:rPr>
          <w:sz w:val="22"/>
        </w:rPr>
        <w:t>Brief</w:t>
      </w:r>
      <w:r>
        <w:rPr>
          <w:spacing w:val="-25"/>
          <w:sz w:val="22"/>
        </w:rPr>
        <w:t> </w:t>
      </w:r>
      <w:r>
        <w:rPr>
          <w:sz w:val="22"/>
        </w:rPr>
        <w:t>(2019).</w:t>
      </w:r>
      <w:r>
        <w:rPr>
          <w:spacing w:val="-25"/>
          <w:sz w:val="22"/>
        </w:rPr>
        <w:t> </w:t>
      </w:r>
      <w:r>
        <w:rPr>
          <w:i/>
          <w:sz w:val="23"/>
        </w:rPr>
        <w:t>Data</w:t>
      </w:r>
      <w:r>
        <w:rPr>
          <w:i/>
          <w:spacing w:val="-28"/>
          <w:sz w:val="23"/>
        </w:rPr>
        <w:t> </w:t>
      </w:r>
      <w:r>
        <w:rPr>
          <w:i/>
          <w:sz w:val="23"/>
        </w:rPr>
        <w:t>Collection</w:t>
      </w:r>
      <w:r>
        <w:rPr>
          <w:i/>
          <w:spacing w:val="-28"/>
          <w:sz w:val="23"/>
        </w:rPr>
        <w:t> </w:t>
      </w:r>
      <w:r>
        <w:rPr>
          <w:i/>
          <w:sz w:val="23"/>
        </w:rPr>
        <w:t>Across</w:t>
      </w:r>
      <w:r>
        <w:rPr>
          <w:i/>
          <w:spacing w:val="-29"/>
          <w:sz w:val="23"/>
        </w:rPr>
        <w:t> </w:t>
      </w:r>
      <w:r>
        <w:rPr>
          <w:i/>
          <w:sz w:val="23"/>
        </w:rPr>
        <w:t>the</w:t>
      </w:r>
      <w:r>
        <w:rPr>
          <w:i/>
          <w:spacing w:val="-29"/>
          <w:sz w:val="23"/>
        </w:rPr>
        <w:t> </w:t>
      </w:r>
      <w:r>
        <w:rPr>
          <w:i/>
          <w:sz w:val="23"/>
        </w:rPr>
        <w:t>Sequential</w:t>
      </w:r>
      <w:r>
        <w:rPr>
          <w:i/>
          <w:spacing w:val="-28"/>
          <w:sz w:val="23"/>
        </w:rPr>
        <w:t> </w:t>
      </w:r>
      <w:r>
        <w:rPr>
          <w:i/>
          <w:sz w:val="23"/>
        </w:rPr>
        <w:t>Intercept</w:t>
      </w:r>
      <w:r>
        <w:rPr>
          <w:i/>
          <w:spacing w:val="-28"/>
          <w:sz w:val="23"/>
        </w:rPr>
        <w:t> </w:t>
      </w:r>
      <w:r>
        <w:rPr>
          <w:i/>
          <w:sz w:val="23"/>
        </w:rPr>
        <w:t>Model:</w:t>
      </w:r>
      <w:r>
        <w:rPr>
          <w:i/>
          <w:spacing w:val="-29"/>
          <w:sz w:val="23"/>
        </w:rPr>
        <w:t> </w:t>
      </w:r>
      <w:r>
        <w:rPr>
          <w:i/>
          <w:sz w:val="23"/>
        </w:rPr>
        <w:t>Essential Measures</w:t>
      </w:r>
      <w:r>
        <w:rPr>
          <w:sz w:val="22"/>
        </w:rPr>
        <w:t>, SAMHSA GAINS Center.</w:t>
      </w:r>
      <w:r>
        <w:rPr>
          <w:spacing w:val="-8"/>
          <w:sz w:val="22"/>
        </w:rPr>
        <w:t> </w:t>
      </w:r>
      <w:r>
        <w:rPr>
          <w:sz w:val="22"/>
        </w:rPr>
        <w:t>PEP19-SIM-DATA.</w:t>
      </w:r>
    </w:p>
    <w:p>
      <w:pPr>
        <w:spacing w:line="230" w:lineRule="auto" w:before="117"/>
        <w:ind w:left="119" w:right="134" w:firstLine="0"/>
        <w:jc w:val="left"/>
        <w:rPr>
          <w:sz w:val="22"/>
        </w:rPr>
      </w:pPr>
      <w:r>
        <w:rPr>
          <w:sz w:val="22"/>
        </w:rPr>
        <w:t>Gray,</w:t>
      </w:r>
      <w:r>
        <w:rPr>
          <w:spacing w:val="-15"/>
          <w:sz w:val="22"/>
        </w:rPr>
        <w:t> </w:t>
      </w:r>
      <w:r>
        <w:rPr>
          <w:sz w:val="22"/>
        </w:rPr>
        <w:t>P.,</w:t>
      </w:r>
      <w:r>
        <w:rPr>
          <w:spacing w:val="-14"/>
          <w:sz w:val="22"/>
        </w:rPr>
        <w:t> </w:t>
      </w:r>
      <w:r>
        <w:rPr>
          <w:sz w:val="22"/>
        </w:rPr>
        <w:t>Smithson,</w:t>
      </w:r>
      <w:r>
        <w:rPr>
          <w:spacing w:val="-15"/>
          <w:sz w:val="22"/>
        </w:rPr>
        <w:t> </w:t>
      </w:r>
      <w:r>
        <w:rPr>
          <w:sz w:val="22"/>
        </w:rPr>
        <w:t>H.</w:t>
      </w:r>
      <w:r>
        <w:rPr>
          <w:spacing w:val="-16"/>
          <w:sz w:val="22"/>
        </w:rPr>
        <w:t> </w:t>
      </w:r>
      <w:r>
        <w:rPr>
          <w:sz w:val="22"/>
        </w:rPr>
        <w:t>and</w:t>
      </w:r>
      <w:r>
        <w:rPr>
          <w:spacing w:val="-15"/>
          <w:sz w:val="22"/>
        </w:rPr>
        <w:t> </w:t>
      </w:r>
      <w:r>
        <w:rPr>
          <w:sz w:val="22"/>
        </w:rPr>
        <w:t>Jump,</w:t>
      </w:r>
      <w:r>
        <w:rPr>
          <w:spacing w:val="-14"/>
          <w:sz w:val="22"/>
        </w:rPr>
        <w:t> </w:t>
      </w:r>
      <w:r>
        <w:rPr>
          <w:sz w:val="22"/>
        </w:rPr>
        <w:t>D.</w:t>
      </w:r>
      <w:r>
        <w:rPr>
          <w:spacing w:val="-16"/>
          <w:sz w:val="22"/>
        </w:rPr>
        <w:t> </w:t>
      </w:r>
      <w:r>
        <w:rPr>
          <w:sz w:val="22"/>
        </w:rPr>
        <w:t>(2021).</w:t>
      </w:r>
      <w:r>
        <w:rPr>
          <w:spacing w:val="-14"/>
          <w:sz w:val="22"/>
        </w:rPr>
        <w:t> </w:t>
      </w:r>
      <w:r>
        <w:rPr>
          <w:i/>
          <w:sz w:val="23"/>
        </w:rPr>
        <w:t>Serious</w:t>
      </w:r>
      <w:r>
        <w:rPr>
          <w:i/>
          <w:spacing w:val="-18"/>
          <w:sz w:val="23"/>
        </w:rPr>
        <w:t> </w:t>
      </w:r>
      <w:r>
        <w:rPr>
          <w:i/>
          <w:sz w:val="23"/>
        </w:rPr>
        <w:t>youth</w:t>
      </w:r>
      <w:r>
        <w:rPr>
          <w:i/>
          <w:spacing w:val="-21"/>
          <w:sz w:val="23"/>
        </w:rPr>
        <w:t> </w:t>
      </w:r>
      <w:r>
        <w:rPr>
          <w:i/>
          <w:sz w:val="23"/>
        </w:rPr>
        <w:t>violence</w:t>
      </w:r>
      <w:r>
        <w:rPr>
          <w:i/>
          <w:spacing w:val="-19"/>
          <w:sz w:val="23"/>
        </w:rPr>
        <w:t> </w:t>
      </w:r>
      <w:r>
        <w:rPr>
          <w:i/>
          <w:sz w:val="23"/>
        </w:rPr>
        <w:t>and</w:t>
      </w:r>
      <w:r>
        <w:rPr>
          <w:i/>
          <w:spacing w:val="-17"/>
          <w:sz w:val="23"/>
        </w:rPr>
        <w:t> </w:t>
      </w:r>
      <w:r>
        <w:rPr>
          <w:i/>
          <w:sz w:val="23"/>
        </w:rPr>
        <w:t>its</w:t>
      </w:r>
      <w:r>
        <w:rPr>
          <w:i/>
          <w:spacing w:val="-18"/>
          <w:sz w:val="23"/>
        </w:rPr>
        <w:t> </w:t>
      </w:r>
      <w:r>
        <w:rPr>
          <w:i/>
          <w:sz w:val="23"/>
        </w:rPr>
        <w:t>relationship</w:t>
      </w:r>
      <w:r>
        <w:rPr>
          <w:i/>
          <w:spacing w:val="-18"/>
          <w:sz w:val="23"/>
        </w:rPr>
        <w:t> </w:t>
      </w:r>
      <w:r>
        <w:rPr>
          <w:i/>
          <w:sz w:val="23"/>
        </w:rPr>
        <w:t>with adverse</w:t>
      </w:r>
      <w:r>
        <w:rPr>
          <w:i/>
          <w:spacing w:val="-17"/>
          <w:sz w:val="23"/>
        </w:rPr>
        <w:t> </w:t>
      </w:r>
      <w:r>
        <w:rPr>
          <w:i/>
          <w:sz w:val="23"/>
        </w:rPr>
        <w:t>childhood</w:t>
      </w:r>
      <w:r>
        <w:rPr>
          <w:i/>
          <w:spacing w:val="-15"/>
          <w:sz w:val="23"/>
        </w:rPr>
        <w:t> </w:t>
      </w:r>
      <w:r>
        <w:rPr>
          <w:i/>
          <w:sz w:val="23"/>
        </w:rPr>
        <w:t>experiences</w:t>
      </w:r>
      <w:r>
        <w:rPr>
          <w:sz w:val="22"/>
        </w:rPr>
        <w:t>,</w:t>
      </w:r>
      <w:r>
        <w:rPr>
          <w:spacing w:val="-12"/>
          <w:sz w:val="22"/>
        </w:rPr>
        <w:t> </w:t>
      </w:r>
      <w:r>
        <w:rPr>
          <w:sz w:val="22"/>
        </w:rPr>
        <w:t>HM</w:t>
      </w:r>
      <w:r>
        <w:rPr>
          <w:spacing w:val="-12"/>
          <w:sz w:val="22"/>
        </w:rPr>
        <w:t> </w:t>
      </w:r>
      <w:r>
        <w:rPr>
          <w:sz w:val="22"/>
        </w:rPr>
        <w:t>Inspectorate</w:t>
      </w:r>
      <w:r>
        <w:rPr>
          <w:spacing w:val="-15"/>
          <w:sz w:val="22"/>
        </w:rPr>
        <w:t> </w:t>
      </w:r>
      <w:r>
        <w:rPr>
          <w:sz w:val="22"/>
        </w:rPr>
        <w:t>of</w:t>
      </w:r>
      <w:r>
        <w:rPr>
          <w:spacing w:val="-12"/>
          <w:sz w:val="22"/>
        </w:rPr>
        <w:t> </w:t>
      </w:r>
      <w:r>
        <w:rPr>
          <w:sz w:val="22"/>
        </w:rPr>
        <w:t>Probation</w:t>
      </w:r>
      <w:r>
        <w:rPr>
          <w:spacing w:val="-13"/>
          <w:sz w:val="22"/>
        </w:rPr>
        <w:t> </w:t>
      </w:r>
      <w:r>
        <w:rPr>
          <w:sz w:val="22"/>
        </w:rPr>
        <w:t>Academic</w:t>
      </w:r>
      <w:r>
        <w:rPr>
          <w:spacing w:val="-13"/>
          <w:sz w:val="22"/>
        </w:rPr>
        <w:t> </w:t>
      </w:r>
      <w:r>
        <w:rPr>
          <w:sz w:val="22"/>
        </w:rPr>
        <w:t>Insights</w:t>
      </w:r>
      <w:r>
        <w:rPr>
          <w:spacing w:val="-13"/>
          <w:sz w:val="22"/>
        </w:rPr>
        <w:t> </w:t>
      </w:r>
      <w:r>
        <w:rPr>
          <w:sz w:val="22"/>
        </w:rPr>
        <w:t>2021/13.</w:t>
      </w:r>
    </w:p>
    <w:p>
      <w:pPr>
        <w:pStyle w:val="BodyText"/>
        <w:spacing w:before="1"/>
        <w:ind w:left="120" w:right="2162"/>
      </w:pPr>
      <w:r>
        <w:rPr/>
        <w:t>Available at: </w:t>
      </w:r>
      <w:hyperlink r:id="rId8">
        <w:r>
          <w:rPr>
            <w:color w:val="0000FF"/>
            <w:u w:val="single" w:color="0000FF"/>
          </w:rPr>
          <w:t>https://www.justiceinspectorates.gov.uk/hmiprobation/wp-</w:t>
        </w:r>
      </w:hyperlink>
      <w:r>
        <w:rPr>
          <w:color w:val="0000FF"/>
        </w:rPr>
        <w:t> </w:t>
      </w:r>
      <w:hyperlink r:id="rId8">
        <w:r>
          <w:rPr>
            <w:color w:val="0000FF"/>
            <w:u w:val="single" w:color="0000FF"/>
          </w:rPr>
          <w:t>content/uploads/sites/5/2021/11/Academic-Insights-Gray-et-al.pdf</w:t>
        </w:r>
      </w:hyperlink>
    </w:p>
    <w:p>
      <w:pPr>
        <w:pStyle w:val="BodyText"/>
        <w:spacing w:before="119"/>
        <w:ind w:left="120" w:right="337"/>
      </w:pPr>
      <w:r>
        <w:rPr/>
        <w:t>Heilbrun, K., Mulvey, E., DeMatteo, D., l Schubert, C. and Griffin, P. (2015) ‘Key Aspects of Applying the Sequential Intercept Model and Future Challenges’ (Chapter 15), in P. Griffin,</w:t>
      </w:r>
    </w:p>
    <w:p>
      <w:pPr>
        <w:spacing w:line="230" w:lineRule="auto" w:before="0"/>
        <w:ind w:left="120" w:right="134" w:hanging="1"/>
        <w:jc w:val="left"/>
        <w:rPr>
          <w:sz w:val="22"/>
        </w:rPr>
      </w:pPr>
      <w:r>
        <w:rPr>
          <w:sz w:val="22"/>
        </w:rPr>
        <w:t>K. Heilbrun, E. Mulvey, D. DeMatteo and C. Schubert (eds.) </w:t>
      </w:r>
      <w:r>
        <w:rPr>
          <w:i/>
          <w:sz w:val="23"/>
        </w:rPr>
        <w:t>Criminal justice and the sequential</w:t>
      </w:r>
      <w:r>
        <w:rPr>
          <w:i/>
          <w:spacing w:val="-45"/>
          <w:sz w:val="23"/>
        </w:rPr>
        <w:t> </w:t>
      </w:r>
      <w:r>
        <w:rPr>
          <w:i/>
          <w:sz w:val="23"/>
        </w:rPr>
        <w:t>intercept</w:t>
      </w:r>
      <w:r>
        <w:rPr>
          <w:i/>
          <w:spacing w:val="-45"/>
          <w:sz w:val="23"/>
        </w:rPr>
        <w:t> </w:t>
      </w:r>
      <w:r>
        <w:rPr>
          <w:i/>
          <w:sz w:val="23"/>
        </w:rPr>
        <w:t>model:</w:t>
      </w:r>
      <w:r>
        <w:rPr>
          <w:i/>
          <w:spacing w:val="-44"/>
          <w:sz w:val="23"/>
        </w:rPr>
        <w:t> </w:t>
      </w:r>
      <w:r>
        <w:rPr>
          <w:i/>
          <w:sz w:val="23"/>
        </w:rPr>
        <w:t>Promoting</w:t>
      </w:r>
      <w:r>
        <w:rPr>
          <w:i/>
          <w:spacing w:val="-45"/>
          <w:sz w:val="23"/>
        </w:rPr>
        <w:t> </w:t>
      </w:r>
      <w:r>
        <w:rPr>
          <w:i/>
          <w:sz w:val="23"/>
        </w:rPr>
        <w:t>community</w:t>
      </w:r>
      <w:r>
        <w:rPr>
          <w:i/>
          <w:spacing w:val="-46"/>
          <w:sz w:val="23"/>
        </w:rPr>
        <w:t> </w:t>
      </w:r>
      <w:r>
        <w:rPr>
          <w:i/>
          <w:sz w:val="23"/>
        </w:rPr>
        <w:t>alternatives</w:t>
      </w:r>
      <w:r>
        <w:rPr>
          <w:i/>
          <w:spacing w:val="-45"/>
          <w:sz w:val="23"/>
        </w:rPr>
        <w:t> </w:t>
      </w:r>
      <w:r>
        <w:rPr>
          <w:i/>
          <w:sz w:val="23"/>
        </w:rPr>
        <w:t>for</w:t>
      </w:r>
      <w:r>
        <w:rPr>
          <w:i/>
          <w:spacing w:val="-44"/>
          <w:sz w:val="23"/>
        </w:rPr>
        <w:t> </w:t>
      </w:r>
      <w:r>
        <w:rPr>
          <w:i/>
          <w:sz w:val="23"/>
        </w:rPr>
        <w:t>individuals</w:t>
      </w:r>
      <w:r>
        <w:rPr>
          <w:i/>
          <w:spacing w:val="-45"/>
          <w:sz w:val="23"/>
        </w:rPr>
        <w:t> </w:t>
      </w:r>
      <w:r>
        <w:rPr>
          <w:i/>
          <w:sz w:val="23"/>
        </w:rPr>
        <w:t>with</w:t>
      </w:r>
      <w:r>
        <w:rPr>
          <w:i/>
          <w:spacing w:val="-45"/>
          <w:sz w:val="23"/>
        </w:rPr>
        <w:t> </w:t>
      </w:r>
      <w:r>
        <w:rPr>
          <w:i/>
          <w:sz w:val="23"/>
        </w:rPr>
        <w:t>serious mental illness</w:t>
      </w:r>
      <w:r>
        <w:rPr>
          <w:sz w:val="22"/>
        </w:rPr>
        <w:t>. New York:</w:t>
      </w:r>
      <w:r>
        <w:rPr>
          <w:spacing w:val="-5"/>
          <w:sz w:val="22"/>
        </w:rPr>
        <w:t> </w:t>
      </w:r>
      <w:r>
        <w:rPr>
          <w:sz w:val="22"/>
        </w:rPr>
        <w:t>Oxford.</w:t>
      </w:r>
    </w:p>
    <w:p>
      <w:pPr>
        <w:pStyle w:val="BodyText"/>
        <w:spacing w:line="235" w:lineRule="auto" w:before="121"/>
        <w:ind w:left="120" w:right="673"/>
      </w:pPr>
      <w:r>
        <w:rPr/>
        <w:t>Irving, A., Goodacre, S., Blake, J., Allen, D. and Moore, S.C. (2018). ‘Managing alcohol- related attendances in emergency care: can diversion to bespoke services lessen the burden?’, </w:t>
      </w:r>
      <w:r>
        <w:rPr>
          <w:i/>
          <w:sz w:val="23"/>
        </w:rPr>
        <w:t>Emergency Medicine Journal</w:t>
      </w:r>
      <w:r>
        <w:rPr/>
        <w:t>, 35(2), pp. 79-82.</w:t>
      </w:r>
    </w:p>
    <w:p>
      <w:pPr>
        <w:spacing w:line="235" w:lineRule="auto" w:before="114"/>
        <w:ind w:left="119" w:right="134" w:firstLine="0"/>
        <w:jc w:val="left"/>
        <w:rPr>
          <w:sz w:val="22"/>
        </w:rPr>
      </w:pPr>
      <w:r>
        <w:rPr>
          <w:sz w:val="22"/>
        </w:rPr>
        <w:t>HM</w:t>
      </w:r>
      <w:r>
        <w:rPr>
          <w:spacing w:val="-20"/>
          <w:sz w:val="22"/>
        </w:rPr>
        <w:t> </w:t>
      </w:r>
      <w:r>
        <w:rPr>
          <w:sz w:val="22"/>
        </w:rPr>
        <w:t>Inspectorate</w:t>
      </w:r>
      <w:r>
        <w:rPr>
          <w:spacing w:val="-20"/>
          <w:sz w:val="22"/>
        </w:rPr>
        <w:t> </w:t>
      </w:r>
      <w:r>
        <w:rPr>
          <w:sz w:val="22"/>
        </w:rPr>
        <w:t>of</w:t>
      </w:r>
      <w:r>
        <w:rPr>
          <w:spacing w:val="-22"/>
          <w:sz w:val="22"/>
        </w:rPr>
        <w:t> </w:t>
      </w:r>
      <w:r>
        <w:rPr>
          <w:sz w:val="22"/>
        </w:rPr>
        <w:t>Probation</w:t>
      </w:r>
      <w:r>
        <w:rPr>
          <w:spacing w:val="-20"/>
          <w:sz w:val="22"/>
        </w:rPr>
        <w:t> </w:t>
      </w:r>
      <w:r>
        <w:rPr>
          <w:sz w:val="22"/>
        </w:rPr>
        <w:t>(2020).</w:t>
      </w:r>
      <w:r>
        <w:rPr>
          <w:spacing w:val="-19"/>
          <w:sz w:val="22"/>
        </w:rPr>
        <w:t> </w:t>
      </w:r>
      <w:r>
        <w:rPr>
          <w:i/>
          <w:sz w:val="23"/>
        </w:rPr>
        <w:t>Accommodation</w:t>
      </w:r>
      <w:r>
        <w:rPr>
          <w:i/>
          <w:spacing w:val="-22"/>
          <w:sz w:val="23"/>
        </w:rPr>
        <w:t> </w:t>
      </w:r>
      <w:r>
        <w:rPr>
          <w:i/>
          <w:sz w:val="23"/>
        </w:rPr>
        <w:t>and</w:t>
      </w:r>
      <w:r>
        <w:rPr>
          <w:i/>
          <w:spacing w:val="-23"/>
          <w:sz w:val="23"/>
        </w:rPr>
        <w:t> </w:t>
      </w:r>
      <w:r>
        <w:rPr>
          <w:i/>
          <w:sz w:val="23"/>
        </w:rPr>
        <w:t>support</w:t>
      </w:r>
      <w:r>
        <w:rPr>
          <w:i/>
          <w:spacing w:val="-24"/>
          <w:sz w:val="23"/>
        </w:rPr>
        <w:t> </w:t>
      </w:r>
      <w:r>
        <w:rPr>
          <w:i/>
          <w:sz w:val="23"/>
        </w:rPr>
        <w:t>for</w:t>
      </w:r>
      <w:r>
        <w:rPr>
          <w:i/>
          <w:spacing w:val="-23"/>
          <w:sz w:val="23"/>
        </w:rPr>
        <w:t> </w:t>
      </w:r>
      <w:r>
        <w:rPr>
          <w:i/>
          <w:sz w:val="23"/>
        </w:rPr>
        <w:t>adult</w:t>
      </w:r>
      <w:r>
        <w:rPr>
          <w:i/>
          <w:spacing w:val="-22"/>
          <w:sz w:val="23"/>
        </w:rPr>
        <w:t> </w:t>
      </w:r>
      <w:r>
        <w:rPr>
          <w:i/>
          <w:sz w:val="23"/>
        </w:rPr>
        <w:t>offenders</w:t>
      </w:r>
      <w:r>
        <w:rPr>
          <w:i/>
          <w:spacing w:val="-22"/>
          <w:sz w:val="23"/>
        </w:rPr>
        <w:t> </w:t>
      </w:r>
      <w:r>
        <w:rPr>
          <w:i/>
          <w:sz w:val="23"/>
        </w:rPr>
        <w:t>in</w:t>
      </w:r>
      <w:r>
        <w:rPr>
          <w:i/>
          <w:spacing w:val="-23"/>
          <w:sz w:val="23"/>
        </w:rPr>
        <w:t> </w:t>
      </w:r>
      <w:r>
        <w:rPr>
          <w:i/>
          <w:sz w:val="23"/>
        </w:rPr>
        <w:t>the community and on release from prison in England</w:t>
      </w:r>
      <w:r>
        <w:rPr>
          <w:sz w:val="22"/>
        </w:rPr>
        <w:t>. Manchester: HM Inspectorate of Probation.</w:t>
      </w:r>
    </w:p>
    <w:p>
      <w:pPr>
        <w:spacing w:after="0" w:line="235" w:lineRule="auto"/>
        <w:jc w:val="left"/>
        <w:rPr>
          <w:sz w:val="22"/>
        </w:rPr>
        <w:sectPr>
          <w:pgSz w:w="11910" w:h="16840"/>
          <w:pgMar w:header="0" w:footer="775" w:top="1320" w:bottom="960" w:left="1320" w:right="1300"/>
        </w:sectPr>
      </w:pPr>
    </w:p>
    <w:p>
      <w:pPr>
        <w:pStyle w:val="BodyText"/>
        <w:spacing w:line="235" w:lineRule="auto" w:before="86"/>
        <w:ind w:left="120" w:right="209"/>
      </w:pPr>
      <w:r>
        <w:rPr/>
        <w:t>Kerig, P.K., Becker, S.P. and Egan, S. (2010). ‘From internalizing to externalizing: Theoretical models of the processes linking PTSD to juvenile delinquency’, in S.J. Egan (ed.) </w:t>
      </w:r>
      <w:r>
        <w:rPr>
          <w:i/>
          <w:sz w:val="23"/>
        </w:rPr>
        <w:t>PTSD: Causes, symptoms and treatment </w:t>
      </w:r>
      <w:r>
        <w:rPr/>
        <w:t>(pp. 33–78). Hauppauge, NY: Nova.</w:t>
      </w:r>
    </w:p>
    <w:p>
      <w:pPr>
        <w:pStyle w:val="BodyText"/>
        <w:spacing w:before="110"/>
        <w:ind w:left="120" w:right="588"/>
      </w:pPr>
      <w:r>
        <w:rPr/>
        <w:t>Kilkelly,</w:t>
      </w:r>
      <w:r>
        <w:rPr>
          <w:spacing w:val="-19"/>
        </w:rPr>
        <w:t> </w:t>
      </w:r>
      <w:r>
        <w:rPr/>
        <w:t>U.</w:t>
      </w:r>
      <w:r>
        <w:rPr>
          <w:spacing w:val="-20"/>
        </w:rPr>
        <w:t> </w:t>
      </w:r>
      <w:r>
        <w:rPr/>
        <w:t>(2023).</w:t>
      </w:r>
      <w:r>
        <w:rPr>
          <w:spacing w:val="-20"/>
        </w:rPr>
        <w:t> </w:t>
      </w:r>
      <w:r>
        <w:rPr>
          <w:i/>
          <w:sz w:val="23"/>
        </w:rPr>
        <w:t>Evidence-based</w:t>
      </w:r>
      <w:r>
        <w:rPr>
          <w:i/>
          <w:spacing w:val="-21"/>
          <w:sz w:val="23"/>
        </w:rPr>
        <w:t> </w:t>
      </w:r>
      <w:r>
        <w:rPr>
          <w:i/>
          <w:sz w:val="23"/>
        </w:rPr>
        <w:t>core</w:t>
      </w:r>
      <w:r>
        <w:rPr>
          <w:i/>
          <w:spacing w:val="-23"/>
          <w:sz w:val="23"/>
        </w:rPr>
        <w:t> </w:t>
      </w:r>
      <w:r>
        <w:rPr>
          <w:i/>
          <w:sz w:val="23"/>
        </w:rPr>
        <w:t>messages</w:t>
      </w:r>
      <w:r>
        <w:rPr>
          <w:i/>
          <w:spacing w:val="-22"/>
          <w:sz w:val="23"/>
        </w:rPr>
        <w:t> </w:t>
      </w:r>
      <w:r>
        <w:rPr>
          <w:i/>
          <w:sz w:val="23"/>
        </w:rPr>
        <w:t>for</w:t>
      </w:r>
      <w:r>
        <w:rPr>
          <w:i/>
          <w:spacing w:val="-21"/>
          <w:sz w:val="23"/>
        </w:rPr>
        <w:t> </w:t>
      </w:r>
      <w:r>
        <w:rPr>
          <w:i/>
          <w:sz w:val="23"/>
        </w:rPr>
        <w:t>youth</w:t>
      </w:r>
      <w:r>
        <w:rPr>
          <w:i/>
          <w:spacing w:val="-23"/>
          <w:sz w:val="23"/>
        </w:rPr>
        <w:t> </w:t>
      </w:r>
      <w:r>
        <w:rPr>
          <w:i/>
          <w:sz w:val="23"/>
        </w:rPr>
        <w:t>justice</w:t>
      </w:r>
      <w:r>
        <w:rPr/>
        <w:t>,</w:t>
      </w:r>
      <w:r>
        <w:rPr>
          <w:spacing w:val="-18"/>
        </w:rPr>
        <w:t> </w:t>
      </w:r>
      <w:r>
        <w:rPr/>
        <w:t>HM</w:t>
      </w:r>
      <w:r>
        <w:rPr>
          <w:spacing w:val="-18"/>
        </w:rPr>
        <w:t> </w:t>
      </w:r>
      <w:r>
        <w:rPr/>
        <w:t>Inspectorate</w:t>
      </w:r>
      <w:r>
        <w:rPr>
          <w:spacing w:val="-20"/>
        </w:rPr>
        <w:t> </w:t>
      </w:r>
      <w:r>
        <w:rPr/>
        <w:t>of Probation Academic Insights 2023/09. Available at: </w:t>
      </w:r>
      <w:hyperlink r:id="rId9">
        <w:r>
          <w:rPr>
            <w:color w:val="0000FF"/>
            <w:u w:val="single" w:color="0000FF"/>
          </w:rPr>
          <w:t>https://www.justiceinspectorates.gov.uk/hmiprobation/wp-</w:t>
        </w:r>
      </w:hyperlink>
      <w:r>
        <w:rPr>
          <w:color w:val="0000FF"/>
        </w:rPr>
        <w:t> </w:t>
      </w:r>
      <w:hyperlink r:id="rId9">
        <w:r>
          <w:rPr>
            <w:color w:val="0000FF"/>
            <w:spacing w:val="-1"/>
            <w:u w:val="single" w:color="0000FF"/>
          </w:rPr>
          <w:t>content/uploads/sites/5/2023/10/Academic-Insights-Evidence-based-core-messages-for-</w:t>
        </w:r>
      </w:hyperlink>
      <w:r>
        <w:rPr>
          <w:color w:val="0000FF"/>
          <w:spacing w:val="-1"/>
        </w:rPr>
        <w:t> </w:t>
      </w:r>
      <w:hyperlink r:id="rId9">
        <w:r>
          <w:rPr>
            <w:color w:val="0000FF"/>
            <w:u w:val="single" w:color="0000FF"/>
          </w:rPr>
          <w:t>youth-justice-by-Professor-Ursula-Kilkelly-Final.pdf</w:t>
        </w:r>
      </w:hyperlink>
    </w:p>
    <w:p>
      <w:pPr>
        <w:pStyle w:val="BodyText"/>
        <w:spacing w:line="265" w:lineRule="exact" w:before="118"/>
        <w:ind w:left="120"/>
      </w:pPr>
      <w:r>
        <w:rPr/>
        <w:t>Ko, S.J., Ford, J.D., Kassam-Adams, N., Berkowitz, S.J., Wilson, C., Wong, M., ... and Layne,</w:t>
      </w:r>
    </w:p>
    <w:p>
      <w:pPr>
        <w:spacing w:line="232" w:lineRule="auto" w:before="5"/>
        <w:ind w:left="120" w:right="284" w:firstLine="0"/>
        <w:jc w:val="left"/>
        <w:rPr>
          <w:sz w:val="22"/>
        </w:rPr>
      </w:pPr>
      <w:r>
        <w:rPr>
          <w:sz w:val="22"/>
        </w:rPr>
        <w:t>C.M. (2008). ‘Creating trauma-informed systems: child welfare, education, first responders, health care, juvenile justice’, </w:t>
      </w:r>
      <w:r>
        <w:rPr>
          <w:i/>
          <w:sz w:val="23"/>
        </w:rPr>
        <w:t>Professional Psychology: Research and Practice</w:t>
      </w:r>
      <w:r>
        <w:rPr>
          <w:sz w:val="22"/>
        </w:rPr>
        <w:t>, 39(4), 396.</w:t>
      </w:r>
    </w:p>
    <w:p>
      <w:pPr>
        <w:spacing w:line="230" w:lineRule="auto" w:before="129"/>
        <w:ind w:left="120" w:right="129" w:firstLine="0"/>
        <w:jc w:val="left"/>
        <w:rPr>
          <w:sz w:val="22"/>
        </w:rPr>
      </w:pPr>
      <w:r>
        <w:rPr>
          <w:sz w:val="22"/>
        </w:rPr>
        <w:t>Kubiak, S., Covington, S. and Hillier, C. (2017). ‘Trauma-informed corrections’, in D. Springer and A. Roberts (eds.) </w:t>
      </w:r>
      <w:r>
        <w:rPr>
          <w:i/>
          <w:sz w:val="23"/>
        </w:rPr>
        <w:t>Social work in juvenile and criminal justice system</w:t>
      </w:r>
      <w:r>
        <w:rPr>
          <w:sz w:val="22"/>
        </w:rPr>
        <w:t>, 4</w:t>
      </w:r>
      <w:r>
        <w:rPr>
          <w:position w:val="8"/>
          <w:sz w:val="14"/>
        </w:rPr>
        <w:t>th </w:t>
      </w:r>
      <w:r>
        <w:rPr>
          <w:sz w:val="22"/>
        </w:rPr>
        <w:t>edition.</w:t>
      </w:r>
    </w:p>
    <w:p>
      <w:pPr>
        <w:pStyle w:val="BodyText"/>
        <w:ind w:left="120"/>
      </w:pPr>
      <w:r>
        <w:rPr/>
        <w:t>Springfield, IL: Charles C. Thomas.</w:t>
      </w:r>
    </w:p>
    <w:p>
      <w:pPr>
        <w:pStyle w:val="BodyText"/>
        <w:spacing w:line="235" w:lineRule="auto" w:before="125"/>
        <w:ind w:left="120" w:right="167"/>
      </w:pPr>
      <w:r>
        <w:rPr/>
        <w:t>Lang, J.M., Ake, G., Barto, B., Caringi, J., Little, C., Baldwin, M.J., Sullivan, K., Tunno, A.M., Bodian, R., Stewart, C.J. and Stevens, K. (2017). ‘Trauma screening in child welfare: lessons learned from five states’, </w:t>
      </w:r>
      <w:r>
        <w:rPr>
          <w:i/>
          <w:sz w:val="23"/>
        </w:rPr>
        <w:t>Journal of Child &amp; Adolescent Trauma</w:t>
      </w:r>
      <w:r>
        <w:rPr/>
        <w:t>, 10(4), pp. 405-416.</w:t>
      </w:r>
    </w:p>
    <w:p>
      <w:pPr>
        <w:pStyle w:val="BodyText"/>
        <w:spacing w:line="235" w:lineRule="auto" w:before="124"/>
        <w:ind w:left="119" w:right="707"/>
      </w:pPr>
      <w:r>
        <w:rPr/>
        <w:t>Markson, L., Losel, F., Souza, K., and Lanskey, C. (2015). ‘Male prisoners’ family relationships</w:t>
      </w:r>
      <w:r>
        <w:rPr>
          <w:spacing w:val="-18"/>
        </w:rPr>
        <w:t> </w:t>
      </w:r>
      <w:r>
        <w:rPr/>
        <w:t>and</w:t>
      </w:r>
      <w:r>
        <w:rPr>
          <w:spacing w:val="-18"/>
        </w:rPr>
        <w:t> </w:t>
      </w:r>
      <w:r>
        <w:rPr/>
        <w:t>resilience</w:t>
      </w:r>
      <w:r>
        <w:rPr>
          <w:spacing w:val="-18"/>
        </w:rPr>
        <w:t> </w:t>
      </w:r>
      <w:r>
        <w:rPr/>
        <w:t>in</w:t>
      </w:r>
      <w:r>
        <w:rPr>
          <w:spacing w:val="-18"/>
        </w:rPr>
        <w:t> </w:t>
      </w:r>
      <w:r>
        <w:rPr/>
        <w:t>resettlement’,</w:t>
      </w:r>
      <w:r>
        <w:rPr>
          <w:spacing w:val="-18"/>
        </w:rPr>
        <w:t> </w:t>
      </w:r>
      <w:r>
        <w:rPr>
          <w:i/>
          <w:sz w:val="23"/>
        </w:rPr>
        <w:t>Criminology</w:t>
      </w:r>
      <w:r>
        <w:rPr>
          <w:i/>
          <w:spacing w:val="-20"/>
          <w:sz w:val="23"/>
        </w:rPr>
        <w:t> </w:t>
      </w:r>
      <w:r>
        <w:rPr>
          <w:i/>
          <w:sz w:val="23"/>
        </w:rPr>
        <w:t>and</w:t>
      </w:r>
      <w:r>
        <w:rPr>
          <w:i/>
          <w:spacing w:val="-22"/>
          <w:sz w:val="23"/>
        </w:rPr>
        <w:t> </w:t>
      </w:r>
      <w:r>
        <w:rPr>
          <w:i/>
          <w:sz w:val="23"/>
        </w:rPr>
        <w:t>Criminal</w:t>
      </w:r>
      <w:r>
        <w:rPr>
          <w:i/>
          <w:spacing w:val="-21"/>
          <w:sz w:val="23"/>
        </w:rPr>
        <w:t> </w:t>
      </w:r>
      <w:r>
        <w:rPr>
          <w:i/>
          <w:sz w:val="23"/>
        </w:rPr>
        <w:t>Justice</w:t>
      </w:r>
      <w:r>
        <w:rPr/>
        <w:t>,</w:t>
      </w:r>
      <w:r>
        <w:rPr>
          <w:spacing w:val="-18"/>
        </w:rPr>
        <w:t> </w:t>
      </w:r>
      <w:r>
        <w:rPr/>
        <w:t>15(4), pp. 423-441.</w:t>
      </w:r>
    </w:p>
    <w:p>
      <w:pPr>
        <w:spacing w:line="230" w:lineRule="auto" w:before="119"/>
        <w:ind w:left="120" w:right="134" w:firstLine="0"/>
        <w:jc w:val="left"/>
        <w:rPr>
          <w:sz w:val="22"/>
        </w:rPr>
      </w:pPr>
      <w:r>
        <w:rPr>
          <w:sz w:val="22"/>
        </w:rPr>
        <w:t>Mauer,</w:t>
      </w:r>
      <w:r>
        <w:rPr>
          <w:spacing w:val="-17"/>
          <w:sz w:val="22"/>
        </w:rPr>
        <w:t> </w:t>
      </w:r>
      <w:r>
        <w:rPr>
          <w:sz w:val="22"/>
        </w:rPr>
        <w:t>M.</w:t>
      </w:r>
      <w:r>
        <w:rPr>
          <w:spacing w:val="-16"/>
          <w:sz w:val="22"/>
        </w:rPr>
        <w:t> </w:t>
      </w:r>
      <w:r>
        <w:rPr>
          <w:sz w:val="22"/>
        </w:rPr>
        <w:t>and</w:t>
      </w:r>
      <w:r>
        <w:rPr>
          <w:spacing w:val="-18"/>
          <w:sz w:val="22"/>
        </w:rPr>
        <w:t> </w:t>
      </w:r>
      <w:r>
        <w:rPr>
          <w:sz w:val="22"/>
        </w:rPr>
        <w:t>Chesney-Lind,</w:t>
      </w:r>
      <w:r>
        <w:rPr>
          <w:spacing w:val="-19"/>
          <w:sz w:val="22"/>
        </w:rPr>
        <w:t> </w:t>
      </w:r>
      <w:r>
        <w:rPr>
          <w:sz w:val="22"/>
        </w:rPr>
        <w:t>M.</w:t>
      </w:r>
      <w:r>
        <w:rPr>
          <w:spacing w:val="-16"/>
          <w:sz w:val="22"/>
        </w:rPr>
        <w:t> </w:t>
      </w:r>
      <w:r>
        <w:rPr>
          <w:sz w:val="22"/>
        </w:rPr>
        <w:t>(eds.)</w:t>
      </w:r>
      <w:r>
        <w:rPr>
          <w:spacing w:val="-17"/>
          <w:sz w:val="22"/>
        </w:rPr>
        <w:t> </w:t>
      </w:r>
      <w:r>
        <w:rPr>
          <w:sz w:val="22"/>
        </w:rPr>
        <w:t>(2002).</w:t>
      </w:r>
      <w:r>
        <w:rPr>
          <w:spacing w:val="-16"/>
          <w:sz w:val="22"/>
        </w:rPr>
        <w:t> </w:t>
      </w:r>
      <w:r>
        <w:rPr>
          <w:i/>
          <w:sz w:val="23"/>
        </w:rPr>
        <w:t>Invisible</w:t>
      </w:r>
      <w:r>
        <w:rPr>
          <w:i/>
          <w:spacing w:val="-21"/>
          <w:sz w:val="23"/>
        </w:rPr>
        <w:t> </w:t>
      </w:r>
      <w:r>
        <w:rPr>
          <w:i/>
          <w:sz w:val="23"/>
        </w:rPr>
        <w:t>Punishment:</w:t>
      </w:r>
      <w:r>
        <w:rPr>
          <w:i/>
          <w:spacing w:val="-20"/>
          <w:sz w:val="23"/>
        </w:rPr>
        <w:t> </w:t>
      </w:r>
      <w:r>
        <w:rPr>
          <w:i/>
          <w:sz w:val="23"/>
        </w:rPr>
        <w:t>The</w:t>
      </w:r>
      <w:r>
        <w:rPr>
          <w:i/>
          <w:spacing w:val="-21"/>
          <w:sz w:val="23"/>
        </w:rPr>
        <w:t> </w:t>
      </w:r>
      <w:r>
        <w:rPr>
          <w:i/>
          <w:sz w:val="23"/>
        </w:rPr>
        <w:t>Collateral Consequences</w:t>
      </w:r>
      <w:r>
        <w:rPr>
          <w:i/>
          <w:spacing w:val="-9"/>
          <w:sz w:val="23"/>
        </w:rPr>
        <w:t> </w:t>
      </w:r>
      <w:r>
        <w:rPr>
          <w:i/>
          <w:sz w:val="23"/>
        </w:rPr>
        <w:t>of</w:t>
      </w:r>
      <w:r>
        <w:rPr>
          <w:i/>
          <w:spacing w:val="-9"/>
          <w:sz w:val="23"/>
        </w:rPr>
        <w:t> </w:t>
      </w:r>
      <w:r>
        <w:rPr>
          <w:i/>
          <w:sz w:val="23"/>
        </w:rPr>
        <w:t>Mass</w:t>
      </w:r>
      <w:r>
        <w:rPr>
          <w:i/>
          <w:spacing w:val="-8"/>
          <w:sz w:val="23"/>
        </w:rPr>
        <w:t> </w:t>
      </w:r>
      <w:r>
        <w:rPr>
          <w:i/>
          <w:sz w:val="23"/>
        </w:rPr>
        <w:t>Imprisonment.</w:t>
      </w:r>
      <w:r>
        <w:rPr>
          <w:i/>
          <w:spacing w:val="-8"/>
          <w:sz w:val="23"/>
        </w:rPr>
        <w:t> </w:t>
      </w:r>
      <w:r>
        <w:rPr>
          <w:sz w:val="22"/>
        </w:rPr>
        <w:t>New</w:t>
      </w:r>
      <w:r>
        <w:rPr>
          <w:spacing w:val="-5"/>
          <w:sz w:val="22"/>
        </w:rPr>
        <w:t> </w:t>
      </w:r>
      <w:r>
        <w:rPr>
          <w:sz w:val="22"/>
        </w:rPr>
        <w:t>York:</w:t>
      </w:r>
      <w:r>
        <w:rPr>
          <w:spacing w:val="-6"/>
          <w:sz w:val="22"/>
        </w:rPr>
        <w:t> </w:t>
      </w:r>
      <w:r>
        <w:rPr>
          <w:sz w:val="22"/>
        </w:rPr>
        <w:t>The</w:t>
      </w:r>
      <w:r>
        <w:rPr>
          <w:spacing w:val="-6"/>
          <w:sz w:val="22"/>
        </w:rPr>
        <w:t> </w:t>
      </w:r>
      <w:r>
        <w:rPr>
          <w:sz w:val="22"/>
        </w:rPr>
        <w:t>New</w:t>
      </w:r>
      <w:r>
        <w:rPr>
          <w:spacing w:val="-5"/>
          <w:sz w:val="22"/>
        </w:rPr>
        <w:t> </w:t>
      </w:r>
      <w:r>
        <w:rPr>
          <w:sz w:val="22"/>
        </w:rPr>
        <w:t>Press.</w:t>
      </w:r>
    </w:p>
    <w:p>
      <w:pPr>
        <w:spacing w:line="232" w:lineRule="auto" w:before="115"/>
        <w:ind w:left="120" w:right="134" w:hanging="1"/>
        <w:jc w:val="left"/>
        <w:rPr>
          <w:sz w:val="22"/>
        </w:rPr>
      </w:pPr>
      <w:r>
        <w:rPr>
          <w:sz w:val="22"/>
        </w:rPr>
        <w:t>May</w:t>
      </w:r>
      <w:r>
        <w:rPr>
          <w:spacing w:val="-15"/>
          <w:sz w:val="22"/>
        </w:rPr>
        <w:t> </w:t>
      </w:r>
      <w:r>
        <w:rPr>
          <w:sz w:val="22"/>
        </w:rPr>
        <w:t>C.,</w:t>
      </w:r>
      <w:r>
        <w:rPr>
          <w:spacing w:val="-17"/>
          <w:sz w:val="22"/>
        </w:rPr>
        <w:t> </w:t>
      </w:r>
      <w:r>
        <w:rPr>
          <w:sz w:val="22"/>
        </w:rPr>
        <w:t>Sharma</w:t>
      </w:r>
      <w:r>
        <w:rPr>
          <w:spacing w:val="-15"/>
          <w:sz w:val="22"/>
        </w:rPr>
        <w:t> </w:t>
      </w:r>
      <w:r>
        <w:rPr>
          <w:sz w:val="22"/>
        </w:rPr>
        <w:t>N.</w:t>
      </w:r>
      <w:r>
        <w:rPr>
          <w:spacing w:val="-15"/>
          <w:sz w:val="22"/>
        </w:rPr>
        <w:t> </w:t>
      </w:r>
      <w:r>
        <w:rPr>
          <w:sz w:val="22"/>
        </w:rPr>
        <w:t>and</w:t>
      </w:r>
      <w:r>
        <w:rPr>
          <w:spacing w:val="-14"/>
          <w:sz w:val="22"/>
        </w:rPr>
        <w:t> </w:t>
      </w:r>
      <w:r>
        <w:rPr>
          <w:sz w:val="22"/>
        </w:rPr>
        <w:t>Stewart</w:t>
      </w:r>
      <w:r>
        <w:rPr>
          <w:spacing w:val="-15"/>
          <w:sz w:val="22"/>
        </w:rPr>
        <w:t> </w:t>
      </w:r>
      <w:r>
        <w:rPr>
          <w:sz w:val="22"/>
        </w:rPr>
        <w:t>D.</w:t>
      </w:r>
      <w:r>
        <w:rPr>
          <w:spacing w:val="-14"/>
          <w:sz w:val="22"/>
        </w:rPr>
        <w:t> </w:t>
      </w:r>
      <w:r>
        <w:rPr>
          <w:sz w:val="22"/>
        </w:rPr>
        <w:t>(2008),</w:t>
      </w:r>
      <w:r>
        <w:rPr>
          <w:spacing w:val="-14"/>
          <w:sz w:val="22"/>
        </w:rPr>
        <w:t> </w:t>
      </w:r>
      <w:r>
        <w:rPr>
          <w:i/>
          <w:sz w:val="23"/>
        </w:rPr>
        <w:t>Factors</w:t>
      </w:r>
      <w:r>
        <w:rPr>
          <w:i/>
          <w:spacing w:val="-19"/>
          <w:sz w:val="23"/>
        </w:rPr>
        <w:t> </w:t>
      </w:r>
      <w:r>
        <w:rPr>
          <w:i/>
          <w:sz w:val="23"/>
        </w:rPr>
        <w:t>linked</w:t>
      </w:r>
      <w:r>
        <w:rPr>
          <w:i/>
          <w:spacing w:val="-20"/>
          <w:sz w:val="23"/>
        </w:rPr>
        <w:t> </w:t>
      </w:r>
      <w:r>
        <w:rPr>
          <w:i/>
          <w:sz w:val="23"/>
        </w:rPr>
        <w:t>to</w:t>
      </w:r>
      <w:r>
        <w:rPr>
          <w:i/>
          <w:spacing w:val="-18"/>
          <w:sz w:val="23"/>
        </w:rPr>
        <w:t> </w:t>
      </w:r>
      <w:r>
        <w:rPr>
          <w:i/>
          <w:sz w:val="23"/>
        </w:rPr>
        <w:t>reoffending:</w:t>
      </w:r>
      <w:r>
        <w:rPr>
          <w:i/>
          <w:spacing w:val="-19"/>
          <w:sz w:val="23"/>
        </w:rPr>
        <w:t> </w:t>
      </w:r>
      <w:r>
        <w:rPr>
          <w:i/>
          <w:sz w:val="23"/>
        </w:rPr>
        <w:t>a</w:t>
      </w:r>
      <w:r>
        <w:rPr>
          <w:i/>
          <w:spacing w:val="-21"/>
          <w:sz w:val="23"/>
        </w:rPr>
        <w:t> </w:t>
      </w:r>
      <w:r>
        <w:rPr>
          <w:i/>
          <w:sz w:val="23"/>
        </w:rPr>
        <w:t>one-year</w:t>
      </w:r>
      <w:r>
        <w:rPr>
          <w:i/>
          <w:spacing w:val="-18"/>
          <w:sz w:val="23"/>
        </w:rPr>
        <w:t> </w:t>
      </w:r>
      <w:r>
        <w:rPr>
          <w:i/>
          <w:sz w:val="23"/>
        </w:rPr>
        <w:t>follow- up</w:t>
      </w:r>
      <w:r>
        <w:rPr>
          <w:i/>
          <w:spacing w:val="-23"/>
          <w:sz w:val="23"/>
        </w:rPr>
        <w:t> </w:t>
      </w:r>
      <w:r>
        <w:rPr>
          <w:i/>
          <w:sz w:val="23"/>
        </w:rPr>
        <w:t>of</w:t>
      </w:r>
      <w:r>
        <w:rPr>
          <w:i/>
          <w:spacing w:val="-24"/>
          <w:sz w:val="23"/>
        </w:rPr>
        <w:t> </w:t>
      </w:r>
      <w:r>
        <w:rPr>
          <w:i/>
          <w:sz w:val="23"/>
        </w:rPr>
        <w:t>prisoners</w:t>
      </w:r>
      <w:r>
        <w:rPr>
          <w:i/>
          <w:spacing w:val="-24"/>
          <w:sz w:val="23"/>
        </w:rPr>
        <w:t> </w:t>
      </w:r>
      <w:r>
        <w:rPr>
          <w:i/>
          <w:sz w:val="23"/>
        </w:rPr>
        <w:t>who</w:t>
      </w:r>
      <w:r>
        <w:rPr>
          <w:i/>
          <w:spacing w:val="-23"/>
          <w:sz w:val="23"/>
        </w:rPr>
        <w:t> </w:t>
      </w:r>
      <w:r>
        <w:rPr>
          <w:i/>
          <w:sz w:val="23"/>
        </w:rPr>
        <w:t>took</w:t>
      </w:r>
      <w:r>
        <w:rPr>
          <w:i/>
          <w:spacing w:val="-25"/>
          <w:sz w:val="23"/>
        </w:rPr>
        <w:t> </w:t>
      </w:r>
      <w:r>
        <w:rPr>
          <w:i/>
          <w:sz w:val="23"/>
        </w:rPr>
        <w:t>part</w:t>
      </w:r>
      <w:r>
        <w:rPr>
          <w:i/>
          <w:spacing w:val="-22"/>
          <w:sz w:val="23"/>
        </w:rPr>
        <w:t> </w:t>
      </w:r>
      <w:r>
        <w:rPr>
          <w:i/>
          <w:sz w:val="23"/>
        </w:rPr>
        <w:t>in</w:t>
      </w:r>
      <w:r>
        <w:rPr>
          <w:i/>
          <w:spacing w:val="-26"/>
          <w:sz w:val="23"/>
        </w:rPr>
        <w:t> </w:t>
      </w:r>
      <w:r>
        <w:rPr>
          <w:i/>
          <w:sz w:val="23"/>
        </w:rPr>
        <w:t>the</w:t>
      </w:r>
      <w:r>
        <w:rPr>
          <w:i/>
          <w:spacing w:val="-24"/>
          <w:sz w:val="23"/>
        </w:rPr>
        <w:t> </w:t>
      </w:r>
      <w:r>
        <w:rPr>
          <w:i/>
          <w:sz w:val="23"/>
        </w:rPr>
        <w:t>Resettlement</w:t>
      </w:r>
      <w:r>
        <w:rPr>
          <w:i/>
          <w:spacing w:val="-25"/>
          <w:sz w:val="23"/>
        </w:rPr>
        <w:t> </w:t>
      </w:r>
      <w:r>
        <w:rPr>
          <w:i/>
          <w:sz w:val="23"/>
        </w:rPr>
        <w:t>Surveys</w:t>
      </w:r>
      <w:r>
        <w:rPr>
          <w:i/>
          <w:spacing w:val="-23"/>
          <w:sz w:val="23"/>
        </w:rPr>
        <w:t> </w:t>
      </w:r>
      <w:r>
        <w:rPr>
          <w:i/>
          <w:sz w:val="23"/>
        </w:rPr>
        <w:t>2001,</w:t>
      </w:r>
      <w:r>
        <w:rPr>
          <w:i/>
          <w:spacing w:val="-23"/>
          <w:sz w:val="23"/>
        </w:rPr>
        <w:t> </w:t>
      </w:r>
      <w:r>
        <w:rPr>
          <w:i/>
          <w:sz w:val="23"/>
        </w:rPr>
        <w:t>2003</w:t>
      </w:r>
      <w:r>
        <w:rPr>
          <w:i/>
          <w:spacing w:val="-25"/>
          <w:sz w:val="23"/>
        </w:rPr>
        <w:t> </w:t>
      </w:r>
      <w:r>
        <w:rPr>
          <w:i/>
          <w:sz w:val="23"/>
        </w:rPr>
        <w:t>and</w:t>
      </w:r>
      <w:r>
        <w:rPr>
          <w:i/>
          <w:spacing w:val="-25"/>
          <w:sz w:val="23"/>
        </w:rPr>
        <w:t> </w:t>
      </w:r>
      <w:r>
        <w:rPr>
          <w:i/>
          <w:sz w:val="23"/>
        </w:rPr>
        <w:t>2004</w:t>
      </w:r>
      <w:r>
        <w:rPr>
          <w:sz w:val="22"/>
        </w:rPr>
        <w:t>.</w:t>
      </w:r>
      <w:r>
        <w:rPr>
          <w:spacing w:val="-19"/>
          <w:sz w:val="22"/>
        </w:rPr>
        <w:t> </w:t>
      </w:r>
      <w:r>
        <w:rPr>
          <w:sz w:val="22"/>
        </w:rPr>
        <w:t>London: Ministry of</w:t>
      </w:r>
      <w:r>
        <w:rPr>
          <w:spacing w:val="-3"/>
          <w:sz w:val="22"/>
        </w:rPr>
        <w:t> </w:t>
      </w:r>
      <w:r>
        <w:rPr>
          <w:sz w:val="22"/>
        </w:rPr>
        <w:t>Justice.</w:t>
      </w:r>
    </w:p>
    <w:p>
      <w:pPr>
        <w:pStyle w:val="BodyText"/>
        <w:spacing w:line="232" w:lineRule="auto" w:before="131"/>
        <w:ind w:left="120" w:right="327" w:hanging="1"/>
      </w:pPr>
      <w:r>
        <w:rPr/>
        <w:t>Miller, E.A., Green, A.E., Fettes, D.L. and Aarons, G.A. (2011). ‘Prevalence of maltreatment among youths in public sectors of care’, </w:t>
      </w:r>
      <w:r>
        <w:rPr>
          <w:i/>
          <w:sz w:val="23"/>
        </w:rPr>
        <w:t>Child maltreatment</w:t>
      </w:r>
      <w:r>
        <w:rPr/>
        <w:t>, 16(3), pp. 196-204.</w:t>
      </w:r>
    </w:p>
    <w:p>
      <w:pPr>
        <w:pStyle w:val="BodyText"/>
        <w:spacing w:before="107"/>
        <w:ind w:left="119" w:right="223" w:hanging="1"/>
      </w:pPr>
      <w:r>
        <w:rPr/>
        <w:t>Ministry</w:t>
      </w:r>
      <w:r>
        <w:rPr>
          <w:spacing w:val="-14"/>
        </w:rPr>
        <w:t> </w:t>
      </w:r>
      <w:r>
        <w:rPr/>
        <w:t>of</w:t>
      </w:r>
      <w:r>
        <w:rPr>
          <w:spacing w:val="-12"/>
        </w:rPr>
        <w:t> </w:t>
      </w:r>
      <w:r>
        <w:rPr/>
        <w:t>Justice</w:t>
      </w:r>
      <w:r>
        <w:rPr>
          <w:spacing w:val="-12"/>
        </w:rPr>
        <w:t> </w:t>
      </w:r>
      <w:r>
        <w:rPr/>
        <w:t>(2018).</w:t>
      </w:r>
      <w:r>
        <w:rPr>
          <w:spacing w:val="-11"/>
        </w:rPr>
        <w:t> </w:t>
      </w:r>
      <w:r>
        <w:rPr>
          <w:i/>
          <w:sz w:val="23"/>
        </w:rPr>
        <w:t>Female</w:t>
      </w:r>
      <w:r>
        <w:rPr>
          <w:i/>
          <w:spacing w:val="-16"/>
          <w:sz w:val="23"/>
        </w:rPr>
        <w:t> </w:t>
      </w:r>
      <w:r>
        <w:rPr>
          <w:i/>
          <w:sz w:val="23"/>
        </w:rPr>
        <w:t>offender</w:t>
      </w:r>
      <w:r>
        <w:rPr>
          <w:i/>
          <w:spacing w:val="-15"/>
          <w:sz w:val="23"/>
        </w:rPr>
        <w:t> </w:t>
      </w:r>
      <w:r>
        <w:rPr>
          <w:i/>
          <w:sz w:val="23"/>
        </w:rPr>
        <w:t>strategy</w:t>
      </w:r>
      <w:r>
        <w:rPr/>
        <w:t>.</w:t>
      </w:r>
      <w:r>
        <w:rPr>
          <w:spacing w:val="-13"/>
        </w:rPr>
        <w:t> </w:t>
      </w:r>
      <w:r>
        <w:rPr/>
        <w:t>London:</w:t>
      </w:r>
      <w:r>
        <w:rPr>
          <w:spacing w:val="-13"/>
        </w:rPr>
        <w:t> </w:t>
      </w:r>
      <w:r>
        <w:rPr/>
        <w:t>Ministry</w:t>
      </w:r>
      <w:r>
        <w:rPr>
          <w:spacing w:val="-13"/>
        </w:rPr>
        <w:t> </w:t>
      </w:r>
      <w:r>
        <w:rPr/>
        <w:t>of</w:t>
      </w:r>
      <w:r>
        <w:rPr>
          <w:spacing w:val="-12"/>
        </w:rPr>
        <w:t> </w:t>
      </w:r>
      <w:r>
        <w:rPr/>
        <w:t>Justice.</w:t>
      </w:r>
      <w:r>
        <w:rPr>
          <w:spacing w:val="-11"/>
        </w:rPr>
        <w:t> </w:t>
      </w:r>
      <w:r>
        <w:rPr/>
        <w:t>Available at: </w:t>
      </w:r>
      <w:hyperlink r:id="rId14">
        <w:r>
          <w:rPr>
            <w:color w:val="0000FF"/>
            <w:u w:val="single" w:color="0000FF"/>
          </w:rPr>
          <w:t>https://www.gov.uk/government/publications/female-offender-strategy</w:t>
        </w:r>
      </w:hyperlink>
    </w:p>
    <w:p>
      <w:pPr>
        <w:spacing w:before="109"/>
        <w:ind w:left="120" w:right="0" w:firstLine="0"/>
        <w:jc w:val="left"/>
        <w:rPr>
          <w:sz w:val="22"/>
        </w:rPr>
      </w:pPr>
      <w:r>
        <w:rPr>
          <w:sz w:val="22"/>
        </w:rPr>
        <w:t>Ministry of Justice (2019a). </w:t>
      </w:r>
      <w:r>
        <w:rPr>
          <w:i/>
          <w:sz w:val="23"/>
        </w:rPr>
        <w:t>Youth Justice Statistics 2017-18</w:t>
      </w:r>
      <w:r>
        <w:rPr>
          <w:sz w:val="22"/>
        </w:rPr>
        <w:t>. London: Ministry of Justice.</w:t>
      </w:r>
    </w:p>
    <w:p>
      <w:pPr>
        <w:spacing w:before="107"/>
        <w:ind w:left="119" w:right="134" w:hanging="1"/>
        <w:jc w:val="left"/>
        <w:rPr>
          <w:sz w:val="22"/>
        </w:rPr>
      </w:pPr>
      <w:r>
        <w:rPr>
          <w:sz w:val="22"/>
        </w:rPr>
        <w:t>Ministry</w:t>
      </w:r>
      <w:r>
        <w:rPr>
          <w:spacing w:val="-22"/>
          <w:sz w:val="22"/>
        </w:rPr>
        <w:t> </w:t>
      </w:r>
      <w:r>
        <w:rPr>
          <w:sz w:val="22"/>
        </w:rPr>
        <w:t>of</w:t>
      </w:r>
      <w:r>
        <w:rPr>
          <w:spacing w:val="-20"/>
          <w:sz w:val="22"/>
        </w:rPr>
        <w:t> </w:t>
      </w:r>
      <w:r>
        <w:rPr>
          <w:sz w:val="22"/>
        </w:rPr>
        <w:t>Justice</w:t>
      </w:r>
      <w:r>
        <w:rPr>
          <w:spacing w:val="-20"/>
          <w:sz w:val="22"/>
        </w:rPr>
        <w:t> </w:t>
      </w:r>
      <w:r>
        <w:rPr>
          <w:sz w:val="22"/>
        </w:rPr>
        <w:t>(2019b).</w:t>
      </w:r>
      <w:r>
        <w:rPr>
          <w:spacing w:val="-19"/>
          <w:sz w:val="22"/>
        </w:rPr>
        <w:t> </w:t>
      </w:r>
      <w:r>
        <w:rPr>
          <w:i/>
          <w:sz w:val="23"/>
        </w:rPr>
        <w:t>Safety</w:t>
      </w:r>
      <w:r>
        <w:rPr>
          <w:i/>
          <w:spacing w:val="-22"/>
          <w:sz w:val="23"/>
        </w:rPr>
        <w:t> </w:t>
      </w:r>
      <w:r>
        <w:rPr>
          <w:i/>
          <w:sz w:val="23"/>
        </w:rPr>
        <w:t>in</w:t>
      </w:r>
      <w:r>
        <w:rPr>
          <w:i/>
          <w:spacing w:val="-25"/>
          <w:sz w:val="23"/>
        </w:rPr>
        <w:t> </w:t>
      </w:r>
      <w:r>
        <w:rPr>
          <w:i/>
          <w:sz w:val="23"/>
        </w:rPr>
        <w:t>custody</w:t>
      </w:r>
      <w:r>
        <w:rPr>
          <w:i/>
          <w:spacing w:val="-25"/>
          <w:sz w:val="23"/>
        </w:rPr>
        <w:t> </w:t>
      </w:r>
      <w:r>
        <w:rPr>
          <w:i/>
          <w:sz w:val="23"/>
        </w:rPr>
        <w:t>quarterly</w:t>
      </w:r>
      <w:r>
        <w:rPr>
          <w:i/>
          <w:spacing w:val="-22"/>
          <w:sz w:val="23"/>
        </w:rPr>
        <w:t> </w:t>
      </w:r>
      <w:r>
        <w:rPr>
          <w:i/>
          <w:sz w:val="23"/>
        </w:rPr>
        <w:t>update</w:t>
      </w:r>
      <w:r>
        <w:rPr>
          <w:i/>
          <w:spacing w:val="-23"/>
          <w:sz w:val="23"/>
        </w:rPr>
        <w:t> </w:t>
      </w:r>
      <w:r>
        <w:rPr>
          <w:i/>
          <w:sz w:val="23"/>
        </w:rPr>
        <w:t>to</w:t>
      </w:r>
      <w:r>
        <w:rPr>
          <w:i/>
          <w:spacing w:val="-25"/>
          <w:sz w:val="23"/>
        </w:rPr>
        <w:t> </w:t>
      </w:r>
      <w:r>
        <w:rPr>
          <w:i/>
          <w:sz w:val="23"/>
        </w:rPr>
        <w:t>December</w:t>
      </w:r>
      <w:r>
        <w:rPr>
          <w:i/>
          <w:spacing w:val="-22"/>
          <w:sz w:val="23"/>
        </w:rPr>
        <w:t> </w:t>
      </w:r>
      <w:r>
        <w:rPr>
          <w:i/>
          <w:sz w:val="23"/>
        </w:rPr>
        <w:t>2018.</w:t>
      </w:r>
      <w:r>
        <w:rPr>
          <w:i/>
          <w:spacing w:val="-23"/>
          <w:sz w:val="23"/>
        </w:rPr>
        <w:t> </w:t>
      </w:r>
      <w:r>
        <w:rPr>
          <w:sz w:val="22"/>
        </w:rPr>
        <w:t>London: Ministry of</w:t>
      </w:r>
      <w:r>
        <w:rPr>
          <w:spacing w:val="-3"/>
          <w:sz w:val="22"/>
        </w:rPr>
        <w:t> </w:t>
      </w:r>
      <w:r>
        <w:rPr>
          <w:sz w:val="22"/>
        </w:rPr>
        <w:t>Justice.</w:t>
      </w:r>
    </w:p>
    <w:p>
      <w:pPr>
        <w:spacing w:line="230" w:lineRule="auto" w:before="116"/>
        <w:ind w:left="119" w:right="134" w:firstLine="0"/>
        <w:jc w:val="left"/>
        <w:rPr>
          <w:sz w:val="22"/>
        </w:rPr>
      </w:pPr>
      <w:r>
        <w:rPr>
          <w:sz w:val="22"/>
        </w:rPr>
        <w:t>Mooney, S., Bunting, L., Coulter, S. and Montgomery, L. (2019). </w:t>
      </w:r>
      <w:r>
        <w:rPr>
          <w:i/>
          <w:sz w:val="23"/>
        </w:rPr>
        <w:t>Applying the Sequential Intercept</w:t>
      </w:r>
      <w:r>
        <w:rPr>
          <w:i/>
          <w:spacing w:val="-34"/>
          <w:sz w:val="23"/>
        </w:rPr>
        <w:t> </w:t>
      </w:r>
      <w:r>
        <w:rPr>
          <w:i/>
          <w:sz w:val="23"/>
        </w:rPr>
        <w:t>Model</w:t>
      </w:r>
      <w:r>
        <w:rPr>
          <w:i/>
          <w:spacing w:val="-36"/>
          <w:sz w:val="23"/>
        </w:rPr>
        <w:t> </w:t>
      </w:r>
      <w:r>
        <w:rPr>
          <w:i/>
          <w:sz w:val="23"/>
        </w:rPr>
        <w:t>to</w:t>
      </w:r>
      <w:r>
        <w:rPr>
          <w:i/>
          <w:spacing w:val="-35"/>
          <w:sz w:val="23"/>
        </w:rPr>
        <w:t> </w:t>
      </w:r>
      <w:r>
        <w:rPr>
          <w:i/>
          <w:sz w:val="23"/>
        </w:rPr>
        <w:t>the</w:t>
      </w:r>
      <w:r>
        <w:rPr>
          <w:i/>
          <w:spacing w:val="-35"/>
          <w:sz w:val="23"/>
        </w:rPr>
        <w:t> </w:t>
      </w:r>
      <w:r>
        <w:rPr>
          <w:i/>
          <w:sz w:val="23"/>
        </w:rPr>
        <w:t>Northern</w:t>
      </w:r>
      <w:r>
        <w:rPr>
          <w:i/>
          <w:spacing w:val="-35"/>
          <w:sz w:val="23"/>
        </w:rPr>
        <w:t> </w:t>
      </w:r>
      <w:r>
        <w:rPr>
          <w:i/>
          <w:sz w:val="23"/>
        </w:rPr>
        <w:t>Ireland</w:t>
      </w:r>
      <w:r>
        <w:rPr>
          <w:i/>
          <w:spacing w:val="-34"/>
          <w:sz w:val="23"/>
        </w:rPr>
        <w:t> </w:t>
      </w:r>
      <w:r>
        <w:rPr>
          <w:i/>
          <w:sz w:val="23"/>
        </w:rPr>
        <w:t>Context:</w:t>
      </w:r>
      <w:r>
        <w:rPr>
          <w:i/>
          <w:spacing w:val="-35"/>
          <w:sz w:val="23"/>
        </w:rPr>
        <w:t> </w:t>
      </w:r>
      <w:r>
        <w:rPr>
          <w:i/>
          <w:sz w:val="23"/>
        </w:rPr>
        <w:t>A</w:t>
      </w:r>
      <w:r>
        <w:rPr>
          <w:i/>
          <w:spacing w:val="-34"/>
          <w:sz w:val="23"/>
        </w:rPr>
        <w:t> </w:t>
      </w:r>
      <w:r>
        <w:rPr>
          <w:i/>
          <w:sz w:val="23"/>
        </w:rPr>
        <w:t>Selective</w:t>
      </w:r>
      <w:r>
        <w:rPr>
          <w:i/>
          <w:spacing w:val="-35"/>
          <w:sz w:val="23"/>
        </w:rPr>
        <w:t> </w:t>
      </w:r>
      <w:r>
        <w:rPr>
          <w:i/>
          <w:sz w:val="23"/>
        </w:rPr>
        <w:t>Review</w:t>
      </w:r>
      <w:r>
        <w:rPr>
          <w:i/>
          <w:spacing w:val="-35"/>
          <w:sz w:val="23"/>
        </w:rPr>
        <w:t> </w:t>
      </w:r>
      <w:r>
        <w:rPr>
          <w:i/>
          <w:sz w:val="23"/>
        </w:rPr>
        <w:t>of</w:t>
      </w:r>
      <w:r>
        <w:rPr>
          <w:i/>
          <w:spacing w:val="-36"/>
          <w:sz w:val="23"/>
        </w:rPr>
        <w:t> </w:t>
      </w:r>
      <w:r>
        <w:rPr>
          <w:i/>
          <w:sz w:val="23"/>
        </w:rPr>
        <w:t>Practice</w:t>
      </w:r>
      <w:r>
        <w:rPr>
          <w:i/>
          <w:spacing w:val="-35"/>
          <w:sz w:val="23"/>
        </w:rPr>
        <w:t> </w:t>
      </w:r>
      <w:r>
        <w:rPr>
          <w:i/>
          <w:sz w:val="23"/>
        </w:rPr>
        <w:t>Innovations to improve the Life Chances of justice-involved young people and adults with complex needs. </w:t>
      </w:r>
      <w:r>
        <w:rPr>
          <w:sz w:val="22"/>
        </w:rPr>
        <w:t>Belfast: Safeguarding Board for Northern Ireland and Queen’s University</w:t>
      </w:r>
      <w:r>
        <w:rPr>
          <w:spacing w:val="-40"/>
          <w:sz w:val="22"/>
        </w:rPr>
        <w:t> </w:t>
      </w:r>
      <w:r>
        <w:rPr>
          <w:sz w:val="22"/>
        </w:rPr>
        <w:t>Belfast.</w:t>
      </w:r>
    </w:p>
    <w:p>
      <w:pPr>
        <w:pStyle w:val="BodyText"/>
        <w:ind w:left="120" w:right="206" w:hanging="1"/>
      </w:pPr>
      <w:r>
        <w:rPr/>
        <w:t>Available at </w:t>
      </w:r>
      <w:hyperlink r:id="rId15">
        <w:r>
          <w:rPr>
            <w:color w:val="0000FF"/>
            <w:u w:val="single" w:color="0000FF"/>
          </w:rPr>
          <w:t>https://www.safeguardingni.org/resources/applying-sequential-intercept-model-</w:t>
        </w:r>
      </w:hyperlink>
      <w:r>
        <w:rPr>
          <w:color w:val="0000FF"/>
        </w:rPr>
        <w:t> </w:t>
      </w:r>
      <w:hyperlink r:id="rId15">
        <w:r>
          <w:rPr>
            <w:color w:val="0000FF"/>
            <w:u w:val="single" w:color="0000FF"/>
          </w:rPr>
          <w:t>ni-context-full-reportpdf</w:t>
        </w:r>
      </w:hyperlink>
    </w:p>
    <w:p>
      <w:pPr>
        <w:pStyle w:val="BodyText"/>
        <w:spacing w:line="235" w:lineRule="auto" w:before="122"/>
        <w:ind w:left="119" w:right="192"/>
      </w:pPr>
      <w:r>
        <w:rPr/>
        <w:t>Munetz, M.R., and Griffin, P.A. (2006). ‘Use of the Sequential Intercept Model as an Approach</w:t>
      </w:r>
      <w:r>
        <w:rPr>
          <w:spacing w:val="-10"/>
        </w:rPr>
        <w:t> </w:t>
      </w:r>
      <w:r>
        <w:rPr/>
        <w:t>to</w:t>
      </w:r>
      <w:r>
        <w:rPr>
          <w:spacing w:val="-12"/>
        </w:rPr>
        <w:t> </w:t>
      </w:r>
      <w:r>
        <w:rPr/>
        <w:t>Decriminalization</w:t>
      </w:r>
      <w:r>
        <w:rPr>
          <w:spacing w:val="-9"/>
        </w:rPr>
        <w:t> </w:t>
      </w:r>
      <w:r>
        <w:rPr/>
        <w:t>of</w:t>
      </w:r>
      <w:r>
        <w:rPr>
          <w:spacing w:val="-12"/>
        </w:rPr>
        <w:t> </w:t>
      </w:r>
      <w:r>
        <w:rPr/>
        <w:t>People</w:t>
      </w:r>
      <w:r>
        <w:rPr>
          <w:spacing w:val="-11"/>
        </w:rPr>
        <w:t> </w:t>
      </w:r>
      <w:r>
        <w:rPr/>
        <w:t>with</w:t>
      </w:r>
      <w:r>
        <w:rPr>
          <w:spacing w:val="-12"/>
        </w:rPr>
        <w:t> </w:t>
      </w:r>
      <w:r>
        <w:rPr/>
        <w:t>Serious</w:t>
      </w:r>
      <w:r>
        <w:rPr>
          <w:spacing w:val="-10"/>
        </w:rPr>
        <w:t> </w:t>
      </w:r>
      <w:r>
        <w:rPr/>
        <w:t>Mental</w:t>
      </w:r>
      <w:r>
        <w:rPr>
          <w:spacing w:val="-10"/>
        </w:rPr>
        <w:t> </w:t>
      </w:r>
      <w:r>
        <w:rPr/>
        <w:t>Illness’,</w:t>
      </w:r>
      <w:r>
        <w:rPr>
          <w:spacing w:val="-11"/>
        </w:rPr>
        <w:t> </w:t>
      </w:r>
      <w:r>
        <w:rPr>
          <w:i/>
          <w:sz w:val="23"/>
        </w:rPr>
        <w:t>Psychiatric</w:t>
      </w:r>
      <w:r>
        <w:rPr>
          <w:i/>
          <w:spacing w:val="-13"/>
          <w:sz w:val="23"/>
        </w:rPr>
        <w:t> </w:t>
      </w:r>
      <w:r>
        <w:rPr>
          <w:i/>
          <w:sz w:val="23"/>
        </w:rPr>
        <w:t>Services</w:t>
      </w:r>
      <w:r>
        <w:rPr/>
        <w:t>,</w:t>
      </w:r>
      <w:r>
        <w:rPr>
          <w:spacing w:val="-9"/>
        </w:rPr>
        <w:t> </w:t>
      </w:r>
      <w:r>
        <w:rPr/>
        <w:t>57 (4), pp.</w:t>
      </w:r>
      <w:r>
        <w:rPr>
          <w:spacing w:val="-2"/>
        </w:rPr>
        <w:t> </w:t>
      </w:r>
      <w:r>
        <w:rPr/>
        <w:t>544–549.</w:t>
      </w:r>
    </w:p>
    <w:p>
      <w:pPr>
        <w:spacing w:before="110"/>
        <w:ind w:left="120" w:right="134" w:hanging="1"/>
        <w:jc w:val="left"/>
        <w:rPr>
          <w:sz w:val="22"/>
        </w:rPr>
      </w:pPr>
      <w:r>
        <w:rPr>
          <w:sz w:val="22"/>
        </w:rPr>
        <w:t>Northern</w:t>
      </w:r>
      <w:r>
        <w:rPr>
          <w:spacing w:val="-16"/>
          <w:sz w:val="22"/>
        </w:rPr>
        <w:t> </w:t>
      </w:r>
      <w:r>
        <w:rPr>
          <w:sz w:val="22"/>
        </w:rPr>
        <w:t>Ireland</w:t>
      </w:r>
      <w:r>
        <w:rPr>
          <w:spacing w:val="-15"/>
          <w:sz w:val="22"/>
        </w:rPr>
        <w:t> </w:t>
      </w:r>
      <w:r>
        <w:rPr>
          <w:sz w:val="22"/>
        </w:rPr>
        <w:t>Audit</w:t>
      </w:r>
      <w:r>
        <w:rPr>
          <w:spacing w:val="-15"/>
          <w:sz w:val="22"/>
        </w:rPr>
        <w:t> </w:t>
      </w:r>
      <w:r>
        <w:rPr>
          <w:sz w:val="22"/>
        </w:rPr>
        <w:t>Office</w:t>
      </w:r>
      <w:r>
        <w:rPr>
          <w:spacing w:val="-16"/>
          <w:sz w:val="22"/>
        </w:rPr>
        <w:t> </w:t>
      </w:r>
      <w:r>
        <w:rPr>
          <w:sz w:val="22"/>
        </w:rPr>
        <w:t>(2019).</w:t>
      </w:r>
      <w:r>
        <w:rPr>
          <w:spacing w:val="-15"/>
          <w:sz w:val="22"/>
        </w:rPr>
        <w:t> </w:t>
      </w:r>
      <w:r>
        <w:rPr>
          <w:i/>
          <w:sz w:val="23"/>
        </w:rPr>
        <w:t>Mental</w:t>
      </w:r>
      <w:r>
        <w:rPr>
          <w:i/>
          <w:spacing w:val="-18"/>
          <w:sz w:val="23"/>
        </w:rPr>
        <w:t> </w:t>
      </w:r>
      <w:r>
        <w:rPr>
          <w:i/>
          <w:sz w:val="23"/>
        </w:rPr>
        <w:t>health</w:t>
      </w:r>
      <w:r>
        <w:rPr>
          <w:i/>
          <w:spacing w:val="-19"/>
          <w:sz w:val="23"/>
        </w:rPr>
        <w:t> </w:t>
      </w:r>
      <w:r>
        <w:rPr>
          <w:i/>
          <w:sz w:val="23"/>
        </w:rPr>
        <w:t>in</w:t>
      </w:r>
      <w:r>
        <w:rPr>
          <w:i/>
          <w:spacing w:val="-19"/>
          <w:sz w:val="23"/>
        </w:rPr>
        <w:t> </w:t>
      </w:r>
      <w:r>
        <w:rPr>
          <w:i/>
          <w:sz w:val="23"/>
        </w:rPr>
        <w:t>the</w:t>
      </w:r>
      <w:r>
        <w:rPr>
          <w:i/>
          <w:spacing w:val="-19"/>
          <w:sz w:val="23"/>
        </w:rPr>
        <w:t> </w:t>
      </w:r>
      <w:r>
        <w:rPr>
          <w:i/>
          <w:sz w:val="23"/>
        </w:rPr>
        <w:t>criminal</w:t>
      </w:r>
      <w:r>
        <w:rPr>
          <w:i/>
          <w:spacing w:val="-19"/>
          <w:sz w:val="23"/>
        </w:rPr>
        <w:t> </w:t>
      </w:r>
      <w:r>
        <w:rPr>
          <w:i/>
          <w:sz w:val="23"/>
        </w:rPr>
        <w:t>justice</w:t>
      </w:r>
      <w:r>
        <w:rPr>
          <w:i/>
          <w:spacing w:val="-19"/>
          <w:sz w:val="23"/>
        </w:rPr>
        <w:t> </w:t>
      </w:r>
      <w:r>
        <w:rPr>
          <w:i/>
          <w:sz w:val="23"/>
        </w:rPr>
        <w:t>system.</w:t>
      </w:r>
      <w:r>
        <w:rPr>
          <w:i/>
          <w:spacing w:val="-18"/>
          <w:sz w:val="23"/>
        </w:rPr>
        <w:t> </w:t>
      </w:r>
      <w:r>
        <w:rPr>
          <w:sz w:val="22"/>
        </w:rPr>
        <w:t>Report</w:t>
      </w:r>
      <w:r>
        <w:rPr>
          <w:spacing w:val="-16"/>
          <w:sz w:val="22"/>
        </w:rPr>
        <w:t> </w:t>
      </w:r>
      <w:r>
        <w:rPr>
          <w:sz w:val="22"/>
        </w:rPr>
        <w:t>by the Comptroller and Auditor General,</w:t>
      </w:r>
      <w:r>
        <w:rPr>
          <w:spacing w:val="-2"/>
          <w:sz w:val="22"/>
        </w:rPr>
        <w:t> </w:t>
      </w:r>
      <w:r>
        <w:rPr>
          <w:sz w:val="22"/>
        </w:rPr>
        <w:t>NIAO.</w:t>
      </w:r>
    </w:p>
    <w:p>
      <w:pPr>
        <w:spacing w:line="230" w:lineRule="auto" w:before="116"/>
        <w:ind w:left="120" w:right="134" w:firstLine="0"/>
        <w:jc w:val="left"/>
        <w:rPr>
          <w:sz w:val="22"/>
        </w:rPr>
      </w:pPr>
      <w:r>
        <w:rPr>
          <w:sz w:val="22"/>
        </w:rPr>
        <w:t>Papaioannou,</w:t>
      </w:r>
      <w:r>
        <w:rPr>
          <w:spacing w:val="-12"/>
          <w:sz w:val="22"/>
        </w:rPr>
        <w:t> </w:t>
      </w:r>
      <w:r>
        <w:rPr>
          <w:sz w:val="22"/>
        </w:rPr>
        <w:t>K.,</w:t>
      </w:r>
      <w:r>
        <w:rPr>
          <w:spacing w:val="-12"/>
          <w:sz w:val="22"/>
        </w:rPr>
        <w:t> </w:t>
      </w:r>
      <w:r>
        <w:rPr>
          <w:sz w:val="22"/>
        </w:rPr>
        <w:t>Kuo,</w:t>
      </w:r>
      <w:r>
        <w:rPr>
          <w:spacing w:val="-12"/>
          <w:sz w:val="22"/>
        </w:rPr>
        <w:t> </w:t>
      </w:r>
      <w:r>
        <w:rPr>
          <w:sz w:val="22"/>
        </w:rPr>
        <w:t>T.,</w:t>
      </w:r>
      <w:r>
        <w:rPr>
          <w:spacing w:val="-12"/>
          <w:sz w:val="22"/>
        </w:rPr>
        <w:t> </w:t>
      </w:r>
      <w:r>
        <w:rPr>
          <w:sz w:val="22"/>
        </w:rPr>
        <w:t>Dimova,</w:t>
      </w:r>
      <w:r>
        <w:rPr>
          <w:spacing w:val="-15"/>
          <w:sz w:val="22"/>
        </w:rPr>
        <w:t> </w:t>
      </w:r>
      <w:r>
        <w:rPr>
          <w:sz w:val="22"/>
        </w:rPr>
        <w:t>S.</w:t>
      </w:r>
      <w:r>
        <w:rPr>
          <w:spacing w:val="-12"/>
          <w:sz w:val="22"/>
        </w:rPr>
        <w:t> </w:t>
      </w:r>
      <w:r>
        <w:rPr>
          <w:sz w:val="22"/>
        </w:rPr>
        <w:t>et</w:t>
      </w:r>
      <w:r>
        <w:rPr>
          <w:spacing w:val="-12"/>
          <w:sz w:val="22"/>
        </w:rPr>
        <w:t> </w:t>
      </w:r>
      <w:r>
        <w:rPr>
          <w:sz w:val="22"/>
        </w:rPr>
        <w:t>al.</w:t>
      </w:r>
      <w:r>
        <w:rPr>
          <w:spacing w:val="-12"/>
          <w:sz w:val="22"/>
        </w:rPr>
        <w:t> </w:t>
      </w:r>
      <w:r>
        <w:rPr>
          <w:sz w:val="22"/>
        </w:rPr>
        <w:t>(2023).</w:t>
      </w:r>
      <w:r>
        <w:rPr>
          <w:spacing w:val="-12"/>
          <w:sz w:val="22"/>
        </w:rPr>
        <w:t> </w:t>
      </w:r>
      <w:r>
        <w:rPr>
          <w:i/>
          <w:sz w:val="23"/>
        </w:rPr>
        <w:t>Evaluation</w:t>
      </w:r>
      <w:r>
        <w:rPr>
          <w:i/>
          <w:spacing w:val="-15"/>
          <w:sz w:val="23"/>
        </w:rPr>
        <w:t> </w:t>
      </w:r>
      <w:r>
        <w:rPr>
          <w:i/>
          <w:sz w:val="23"/>
        </w:rPr>
        <w:t>of</w:t>
      </w:r>
      <w:r>
        <w:rPr>
          <w:i/>
          <w:spacing w:val="-19"/>
          <w:sz w:val="23"/>
        </w:rPr>
        <w:t> </w:t>
      </w:r>
      <w:r>
        <w:rPr>
          <w:i/>
          <w:sz w:val="23"/>
        </w:rPr>
        <w:t>Family</w:t>
      </w:r>
      <w:r>
        <w:rPr>
          <w:i/>
          <w:spacing w:val="-15"/>
          <w:sz w:val="23"/>
        </w:rPr>
        <w:t> </w:t>
      </w:r>
      <w:r>
        <w:rPr>
          <w:i/>
          <w:sz w:val="23"/>
        </w:rPr>
        <w:t>Drug</w:t>
      </w:r>
      <w:r>
        <w:rPr>
          <w:i/>
          <w:spacing w:val="-15"/>
          <w:sz w:val="23"/>
        </w:rPr>
        <w:t> </w:t>
      </w:r>
      <w:r>
        <w:rPr>
          <w:i/>
          <w:sz w:val="23"/>
        </w:rPr>
        <w:t>and</w:t>
      </w:r>
      <w:r>
        <w:rPr>
          <w:i/>
          <w:spacing w:val="-15"/>
          <w:sz w:val="23"/>
        </w:rPr>
        <w:t> </w:t>
      </w:r>
      <w:r>
        <w:rPr>
          <w:i/>
          <w:sz w:val="23"/>
        </w:rPr>
        <w:t>Alcohol Courts</w:t>
      </w:r>
      <w:r>
        <w:rPr>
          <w:sz w:val="22"/>
        </w:rPr>
        <w:t>. Foundations, the What Works Centre for Children and</w:t>
      </w:r>
      <w:r>
        <w:rPr>
          <w:spacing w:val="-20"/>
          <w:sz w:val="22"/>
        </w:rPr>
        <w:t> </w:t>
      </w:r>
      <w:r>
        <w:rPr>
          <w:sz w:val="22"/>
        </w:rPr>
        <w:t>Families.</w:t>
      </w:r>
    </w:p>
    <w:p>
      <w:pPr>
        <w:spacing w:after="0" w:line="230" w:lineRule="auto"/>
        <w:jc w:val="left"/>
        <w:rPr>
          <w:sz w:val="22"/>
        </w:rPr>
        <w:sectPr>
          <w:pgSz w:w="11910" w:h="16840"/>
          <w:pgMar w:header="0" w:footer="775" w:top="1340" w:bottom="960" w:left="1320" w:right="1300"/>
        </w:sectPr>
      </w:pPr>
    </w:p>
    <w:p>
      <w:pPr>
        <w:spacing w:line="235" w:lineRule="auto" w:before="86"/>
        <w:ind w:left="120" w:right="463" w:firstLine="0"/>
        <w:jc w:val="both"/>
        <w:rPr>
          <w:sz w:val="22"/>
        </w:rPr>
      </w:pPr>
      <w:r>
        <w:rPr>
          <w:sz w:val="22"/>
        </w:rPr>
        <w:t>Pickens, I. (2016). ‘Laying the groundwork: Conceptualizing a trauma-informed system of care</w:t>
      </w:r>
      <w:r>
        <w:rPr>
          <w:spacing w:val="-23"/>
          <w:sz w:val="22"/>
        </w:rPr>
        <w:t> </w:t>
      </w:r>
      <w:r>
        <w:rPr>
          <w:sz w:val="22"/>
        </w:rPr>
        <w:t>in</w:t>
      </w:r>
      <w:r>
        <w:rPr>
          <w:spacing w:val="-23"/>
          <w:sz w:val="22"/>
        </w:rPr>
        <w:t> </w:t>
      </w:r>
      <w:r>
        <w:rPr>
          <w:sz w:val="22"/>
        </w:rPr>
        <w:t>juvenile</w:t>
      </w:r>
      <w:r>
        <w:rPr>
          <w:spacing w:val="-23"/>
          <w:sz w:val="22"/>
        </w:rPr>
        <w:t> </w:t>
      </w:r>
      <w:r>
        <w:rPr>
          <w:sz w:val="22"/>
        </w:rPr>
        <w:t>detention’,</w:t>
      </w:r>
      <w:r>
        <w:rPr>
          <w:spacing w:val="-21"/>
          <w:sz w:val="22"/>
        </w:rPr>
        <w:t> </w:t>
      </w:r>
      <w:r>
        <w:rPr>
          <w:i/>
          <w:sz w:val="23"/>
        </w:rPr>
        <w:t>Journal</w:t>
      </w:r>
      <w:r>
        <w:rPr>
          <w:i/>
          <w:spacing w:val="-25"/>
          <w:sz w:val="23"/>
        </w:rPr>
        <w:t> </w:t>
      </w:r>
      <w:r>
        <w:rPr>
          <w:i/>
          <w:sz w:val="23"/>
        </w:rPr>
        <w:t>of</w:t>
      </w:r>
      <w:r>
        <w:rPr>
          <w:i/>
          <w:spacing w:val="-26"/>
          <w:sz w:val="23"/>
        </w:rPr>
        <w:t> </w:t>
      </w:r>
      <w:r>
        <w:rPr>
          <w:i/>
          <w:sz w:val="23"/>
        </w:rPr>
        <w:t>Infant,</w:t>
      </w:r>
      <w:r>
        <w:rPr>
          <w:i/>
          <w:spacing w:val="-25"/>
          <w:sz w:val="23"/>
        </w:rPr>
        <w:t> </w:t>
      </w:r>
      <w:r>
        <w:rPr>
          <w:i/>
          <w:sz w:val="23"/>
        </w:rPr>
        <w:t>Child,</w:t>
      </w:r>
      <w:r>
        <w:rPr>
          <w:i/>
          <w:spacing w:val="-25"/>
          <w:sz w:val="23"/>
        </w:rPr>
        <w:t> </w:t>
      </w:r>
      <w:r>
        <w:rPr>
          <w:i/>
          <w:sz w:val="23"/>
        </w:rPr>
        <w:t>and</w:t>
      </w:r>
      <w:r>
        <w:rPr>
          <w:i/>
          <w:spacing w:val="-24"/>
          <w:sz w:val="23"/>
        </w:rPr>
        <w:t> </w:t>
      </w:r>
      <w:r>
        <w:rPr>
          <w:i/>
          <w:sz w:val="23"/>
        </w:rPr>
        <w:t>Adolescent</w:t>
      </w:r>
      <w:r>
        <w:rPr>
          <w:i/>
          <w:spacing w:val="-25"/>
          <w:sz w:val="23"/>
        </w:rPr>
        <w:t> </w:t>
      </w:r>
      <w:r>
        <w:rPr>
          <w:i/>
          <w:sz w:val="23"/>
        </w:rPr>
        <w:t>Psychotherapy</w:t>
      </w:r>
      <w:r>
        <w:rPr>
          <w:sz w:val="22"/>
        </w:rPr>
        <w:t>,</w:t>
      </w:r>
      <w:r>
        <w:rPr>
          <w:spacing w:val="-21"/>
          <w:sz w:val="22"/>
        </w:rPr>
        <w:t> </w:t>
      </w:r>
      <w:r>
        <w:rPr>
          <w:sz w:val="22"/>
        </w:rPr>
        <w:t>15(3), pp. 220-230.</w:t>
      </w:r>
    </w:p>
    <w:p>
      <w:pPr>
        <w:spacing w:line="235" w:lineRule="auto" w:before="115"/>
        <w:ind w:left="119" w:right="201" w:firstLine="0"/>
        <w:jc w:val="left"/>
        <w:rPr>
          <w:sz w:val="22"/>
        </w:rPr>
      </w:pPr>
      <w:r>
        <w:rPr>
          <w:sz w:val="22"/>
        </w:rPr>
        <w:t>Policy</w:t>
      </w:r>
      <w:r>
        <w:rPr>
          <w:spacing w:val="-25"/>
          <w:sz w:val="22"/>
        </w:rPr>
        <w:t> </w:t>
      </w:r>
      <w:r>
        <w:rPr>
          <w:sz w:val="22"/>
        </w:rPr>
        <w:t>Research</w:t>
      </w:r>
      <w:r>
        <w:rPr>
          <w:spacing w:val="-24"/>
          <w:sz w:val="22"/>
        </w:rPr>
        <w:t> </w:t>
      </w:r>
      <w:r>
        <w:rPr>
          <w:sz w:val="22"/>
        </w:rPr>
        <w:t>Associates</w:t>
      </w:r>
      <w:r>
        <w:rPr>
          <w:spacing w:val="-25"/>
          <w:sz w:val="22"/>
        </w:rPr>
        <w:t> </w:t>
      </w:r>
      <w:r>
        <w:rPr>
          <w:sz w:val="22"/>
        </w:rPr>
        <w:t>(2018).</w:t>
      </w:r>
      <w:r>
        <w:rPr>
          <w:spacing w:val="-25"/>
          <w:sz w:val="22"/>
        </w:rPr>
        <w:t> </w:t>
      </w:r>
      <w:r>
        <w:rPr>
          <w:i/>
          <w:sz w:val="23"/>
        </w:rPr>
        <w:t>The</w:t>
      </w:r>
      <w:r>
        <w:rPr>
          <w:i/>
          <w:spacing w:val="-28"/>
          <w:sz w:val="23"/>
        </w:rPr>
        <w:t> </w:t>
      </w:r>
      <w:r>
        <w:rPr>
          <w:i/>
          <w:sz w:val="23"/>
        </w:rPr>
        <w:t>Sequential</w:t>
      </w:r>
      <w:r>
        <w:rPr>
          <w:i/>
          <w:spacing w:val="-28"/>
          <w:sz w:val="23"/>
        </w:rPr>
        <w:t> </w:t>
      </w:r>
      <w:r>
        <w:rPr>
          <w:i/>
          <w:sz w:val="23"/>
        </w:rPr>
        <w:t>Intercept</w:t>
      </w:r>
      <w:r>
        <w:rPr>
          <w:i/>
          <w:spacing w:val="-27"/>
          <w:sz w:val="23"/>
        </w:rPr>
        <w:t> </w:t>
      </w:r>
      <w:r>
        <w:rPr>
          <w:i/>
          <w:sz w:val="23"/>
        </w:rPr>
        <w:t>Model:</w:t>
      </w:r>
      <w:r>
        <w:rPr>
          <w:i/>
          <w:spacing w:val="-27"/>
          <w:sz w:val="23"/>
        </w:rPr>
        <w:t> </w:t>
      </w:r>
      <w:r>
        <w:rPr>
          <w:i/>
          <w:sz w:val="23"/>
        </w:rPr>
        <w:t>Advancing</w:t>
      </w:r>
      <w:r>
        <w:rPr>
          <w:i/>
          <w:spacing w:val="-27"/>
          <w:sz w:val="23"/>
        </w:rPr>
        <w:t> </w:t>
      </w:r>
      <w:r>
        <w:rPr>
          <w:i/>
          <w:sz w:val="23"/>
        </w:rPr>
        <w:t>Community- Based</w:t>
      </w:r>
      <w:r>
        <w:rPr>
          <w:i/>
          <w:spacing w:val="-36"/>
          <w:sz w:val="23"/>
        </w:rPr>
        <w:t> </w:t>
      </w:r>
      <w:r>
        <w:rPr>
          <w:i/>
          <w:sz w:val="23"/>
        </w:rPr>
        <w:t>Solutions</w:t>
      </w:r>
      <w:r>
        <w:rPr>
          <w:i/>
          <w:spacing w:val="-36"/>
          <w:sz w:val="23"/>
        </w:rPr>
        <w:t> </w:t>
      </w:r>
      <w:r>
        <w:rPr>
          <w:i/>
          <w:sz w:val="23"/>
        </w:rPr>
        <w:t>for</w:t>
      </w:r>
      <w:r>
        <w:rPr>
          <w:i/>
          <w:spacing w:val="-37"/>
          <w:sz w:val="23"/>
        </w:rPr>
        <w:t> </w:t>
      </w:r>
      <w:r>
        <w:rPr>
          <w:i/>
          <w:sz w:val="23"/>
        </w:rPr>
        <w:t>Justice-involved</w:t>
      </w:r>
      <w:r>
        <w:rPr>
          <w:i/>
          <w:spacing w:val="-35"/>
          <w:sz w:val="23"/>
        </w:rPr>
        <w:t> </w:t>
      </w:r>
      <w:r>
        <w:rPr>
          <w:i/>
          <w:sz w:val="23"/>
        </w:rPr>
        <w:t>People</w:t>
      </w:r>
      <w:r>
        <w:rPr>
          <w:i/>
          <w:spacing w:val="-37"/>
          <w:sz w:val="23"/>
        </w:rPr>
        <w:t> </w:t>
      </w:r>
      <w:r>
        <w:rPr>
          <w:i/>
          <w:sz w:val="23"/>
        </w:rPr>
        <w:t>with</w:t>
      </w:r>
      <w:r>
        <w:rPr>
          <w:i/>
          <w:spacing w:val="-37"/>
          <w:sz w:val="23"/>
        </w:rPr>
        <w:t> </w:t>
      </w:r>
      <w:r>
        <w:rPr>
          <w:i/>
          <w:sz w:val="23"/>
        </w:rPr>
        <w:t>Mental</w:t>
      </w:r>
      <w:r>
        <w:rPr>
          <w:i/>
          <w:spacing w:val="-36"/>
          <w:sz w:val="23"/>
        </w:rPr>
        <w:t> </w:t>
      </w:r>
      <w:r>
        <w:rPr>
          <w:i/>
          <w:sz w:val="23"/>
        </w:rPr>
        <w:t>and</w:t>
      </w:r>
      <w:r>
        <w:rPr>
          <w:i/>
          <w:spacing w:val="-35"/>
          <w:sz w:val="23"/>
        </w:rPr>
        <w:t> </w:t>
      </w:r>
      <w:r>
        <w:rPr>
          <w:i/>
          <w:sz w:val="23"/>
        </w:rPr>
        <w:t>Substance</w:t>
      </w:r>
      <w:r>
        <w:rPr>
          <w:i/>
          <w:spacing w:val="-37"/>
          <w:sz w:val="23"/>
        </w:rPr>
        <w:t> </w:t>
      </w:r>
      <w:r>
        <w:rPr>
          <w:i/>
          <w:sz w:val="23"/>
        </w:rPr>
        <w:t>Use</w:t>
      </w:r>
      <w:r>
        <w:rPr>
          <w:i/>
          <w:spacing w:val="-36"/>
          <w:sz w:val="23"/>
        </w:rPr>
        <w:t> </w:t>
      </w:r>
      <w:r>
        <w:rPr>
          <w:i/>
          <w:sz w:val="23"/>
        </w:rPr>
        <w:t>Disorders.</w:t>
      </w:r>
      <w:r>
        <w:rPr>
          <w:i/>
          <w:spacing w:val="-35"/>
          <w:sz w:val="23"/>
        </w:rPr>
        <w:t> </w:t>
      </w:r>
      <w:r>
        <w:rPr>
          <w:sz w:val="22"/>
        </w:rPr>
        <w:t>Policy Research Associates. Available at: </w:t>
      </w:r>
      <w:hyperlink r:id="rId16">
        <w:r>
          <w:rPr>
            <w:color w:val="0000FF"/>
            <w:sz w:val="22"/>
            <w:u w:val="single" w:color="0000FF"/>
          </w:rPr>
          <w:t>https://www.prainc.com/wp-</w:t>
        </w:r>
      </w:hyperlink>
      <w:r>
        <w:rPr>
          <w:color w:val="0000FF"/>
          <w:sz w:val="22"/>
        </w:rPr>
        <w:t> </w:t>
      </w:r>
      <w:hyperlink r:id="rId16">
        <w:r>
          <w:rPr>
            <w:color w:val="0000FF"/>
            <w:sz w:val="22"/>
            <w:u w:val="single" w:color="0000FF"/>
          </w:rPr>
          <w:t>content/uploads/2017/08/SIM-Brochure-Redesign0824.pdf</w:t>
        </w:r>
      </w:hyperlink>
    </w:p>
    <w:p>
      <w:pPr>
        <w:spacing w:before="111"/>
        <w:ind w:left="120" w:right="134" w:hanging="1"/>
        <w:jc w:val="left"/>
        <w:rPr>
          <w:sz w:val="22"/>
        </w:rPr>
      </w:pPr>
      <w:r>
        <w:rPr>
          <w:sz w:val="22"/>
        </w:rPr>
        <w:t>Prison</w:t>
      </w:r>
      <w:r>
        <w:rPr>
          <w:spacing w:val="-20"/>
          <w:sz w:val="22"/>
        </w:rPr>
        <w:t> </w:t>
      </w:r>
      <w:r>
        <w:rPr>
          <w:sz w:val="22"/>
        </w:rPr>
        <w:t>Reform</w:t>
      </w:r>
      <w:r>
        <w:rPr>
          <w:spacing w:val="-22"/>
          <w:sz w:val="22"/>
        </w:rPr>
        <w:t> </w:t>
      </w:r>
      <w:r>
        <w:rPr>
          <w:sz w:val="22"/>
        </w:rPr>
        <w:t>Trust</w:t>
      </w:r>
      <w:r>
        <w:rPr>
          <w:spacing w:val="-19"/>
          <w:sz w:val="22"/>
        </w:rPr>
        <w:t> </w:t>
      </w:r>
      <w:r>
        <w:rPr>
          <w:sz w:val="22"/>
        </w:rPr>
        <w:t>(2023).</w:t>
      </w:r>
      <w:r>
        <w:rPr>
          <w:spacing w:val="-19"/>
          <w:sz w:val="22"/>
        </w:rPr>
        <w:t> </w:t>
      </w:r>
      <w:r>
        <w:rPr>
          <w:i/>
          <w:sz w:val="23"/>
        </w:rPr>
        <w:t>Bromley</w:t>
      </w:r>
      <w:r>
        <w:rPr>
          <w:i/>
          <w:spacing w:val="-21"/>
          <w:sz w:val="23"/>
        </w:rPr>
        <w:t> </w:t>
      </w:r>
      <w:r>
        <w:rPr>
          <w:i/>
          <w:sz w:val="23"/>
        </w:rPr>
        <w:t>Briefings</w:t>
      </w:r>
      <w:r>
        <w:rPr>
          <w:i/>
          <w:spacing w:val="-25"/>
          <w:sz w:val="23"/>
        </w:rPr>
        <w:t> </w:t>
      </w:r>
      <w:r>
        <w:rPr>
          <w:i/>
          <w:sz w:val="23"/>
        </w:rPr>
        <w:t>Prison</w:t>
      </w:r>
      <w:r>
        <w:rPr>
          <w:i/>
          <w:spacing w:val="-22"/>
          <w:sz w:val="23"/>
        </w:rPr>
        <w:t> </w:t>
      </w:r>
      <w:r>
        <w:rPr>
          <w:i/>
          <w:sz w:val="23"/>
        </w:rPr>
        <w:t>Factfile</w:t>
      </w:r>
      <w:r>
        <w:rPr>
          <w:i/>
          <w:spacing w:val="-23"/>
          <w:sz w:val="23"/>
        </w:rPr>
        <w:t> </w:t>
      </w:r>
      <w:r>
        <w:rPr>
          <w:i/>
          <w:sz w:val="23"/>
        </w:rPr>
        <w:t>(January</w:t>
      </w:r>
      <w:r>
        <w:rPr>
          <w:i/>
          <w:spacing w:val="-22"/>
          <w:sz w:val="23"/>
        </w:rPr>
        <w:t> </w:t>
      </w:r>
      <w:r>
        <w:rPr>
          <w:i/>
          <w:sz w:val="23"/>
        </w:rPr>
        <w:t>2023)</w:t>
      </w:r>
      <w:r>
        <w:rPr>
          <w:sz w:val="22"/>
        </w:rPr>
        <w:t>.</w:t>
      </w:r>
      <w:r>
        <w:rPr>
          <w:spacing w:val="-19"/>
          <w:sz w:val="22"/>
        </w:rPr>
        <w:t> </w:t>
      </w:r>
      <w:r>
        <w:rPr>
          <w:sz w:val="22"/>
        </w:rPr>
        <w:t>Prison</w:t>
      </w:r>
      <w:r>
        <w:rPr>
          <w:spacing w:val="-22"/>
          <w:sz w:val="22"/>
        </w:rPr>
        <w:t> </w:t>
      </w:r>
      <w:r>
        <w:rPr>
          <w:sz w:val="22"/>
        </w:rPr>
        <w:t>Reform Trust.</w:t>
      </w:r>
    </w:p>
    <w:p>
      <w:pPr>
        <w:spacing w:line="230" w:lineRule="auto" w:before="117"/>
        <w:ind w:left="119" w:right="134" w:firstLine="0"/>
        <w:jc w:val="left"/>
        <w:rPr>
          <w:sz w:val="22"/>
        </w:rPr>
      </w:pPr>
      <w:r>
        <w:rPr>
          <w:sz w:val="22"/>
        </w:rPr>
        <w:t>Public</w:t>
      </w:r>
      <w:r>
        <w:rPr>
          <w:spacing w:val="-23"/>
          <w:sz w:val="22"/>
        </w:rPr>
        <w:t> </w:t>
      </w:r>
      <w:r>
        <w:rPr>
          <w:sz w:val="22"/>
        </w:rPr>
        <w:t>Health</w:t>
      </w:r>
      <w:r>
        <w:rPr>
          <w:spacing w:val="-24"/>
          <w:sz w:val="22"/>
        </w:rPr>
        <w:t> </w:t>
      </w:r>
      <w:r>
        <w:rPr>
          <w:sz w:val="22"/>
        </w:rPr>
        <w:t>England</w:t>
      </w:r>
      <w:r>
        <w:rPr>
          <w:spacing w:val="-21"/>
          <w:sz w:val="22"/>
        </w:rPr>
        <w:t> </w:t>
      </w:r>
      <w:r>
        <w:rPr>
          <w:sz w:val="22"/>
        </w:rPr>
        <w:t>(2018).</w:t>
      </w:r>
      <w:r>
        <w:rPr>
          <w:spacing w:val="-21"/>
          <w:sz w:val="22"/>
        </w:rPr>
        <w:t> </w:t>
      </w:r>
      <w:r>
        <w:rPr>
          <w:i/>
          <w:sz w:val="23"/>
        </w:rPr>
        <w:t>Policing</w:t>
      </w:r>
      <w:r>
        <w:rPr>
          <w:i/>
          <w:spacing w:val="-24"/>
          <w:sz w:val="23"/>
        </w:rPr>
        <w:t> </w:t>
      </w:r>
      <w:r>
        <w:rPr>
          <w:i/>
          <w:sz w:val="23"/>
        </w:rPr>
        <w:t>and</w:t>
      </w:r>
      <w:r>
        <w:rPr>
          <w:i/>
          <w:spacing w:val="-25"/>
          <w:sz w:val="23"/>
        </w:rPr>
        <w:t> </w:t>
      </w:r>
      <w:r>
        <w:rPr>
          <w:i/>
          <w:sz w:val="23"/>
        </w:rPr>
        <w:t>Health</w:t>
      </w:r>
      <w:r>
        <w:rPr>
          <w:i/>
          <w:spacing w:val="-26"/>
          <w:sz w:val="23"/>
        </w:rPr>
        <w:t> </w:t>
      </w:r>
      <w:r>
        <w:rPr>
          <w:i/>
          <w:sz w:val="23"/>
        </w:rPr>
        <w:t>Collaboration</w:t>
      </w:r>
      <w:r>
        <w:rPr>
          <w:i/>
          <w:spacing w:val="-25"/>
          <w:sz w:val="23"/>
        </w:rPr>
        <w:t> </w:t>
      </w:r>
      <w:r>
        <w:rPr>
          <w:i/>
          <w:sz w:val="23"/>
        </w:rPr>
        <w:t>in</w:t>
      </w:r>
      <w:r>
        <w:rPr>
          <w:i/>
          <w:spacing w:val="-27"/>
          <w:sz w:val="23"/>
        </w:rPr>
        <w:t> </w:t>
      </w:r>
      <w:r>
        <w:rPr>
          <w:i/>
          <w:sz w:val="23"/>
        </w:rPr>
        <w:t>England</w:t>
      </w:r>
      <w:r>
        <w:rPr>
          <w:i/>
          <w:spacing w:val="-27"/>
          <w:sz w:val="23"/>
        </w:rPr>
        <w:t> </w:t>
      </w:r>
      <w:r>
        <w:rPr>
          <w:i/>
          <w:sz w:val="23"/>
        </w:rPr>
        <w:t>and</w:t>
      </w:r>
      <w:r>
        <w:rPr>
          <w:i/>
          <w:spacing w:val="-24"/>
          <w:sz w:val="23"/>
        </w:rPr>
        <w:t> </w:t>
      </w:r>
      <w:r>
        <w:rPr>
          <w:i/>
          <w:sz w:val="23"/>
        </w:rPr>
        <w:t>Wales. Landscape Review. </w:t>
      </w:r>
      <w:r>
        <w:rPr>
          <w:sz w:val="22"/>
        </w:rPr>
        <w:t>London: Public Health</w:t>
      </w:r>
      <w:r>
        <w:rPr>
          <w:spacing w:val="-23"/>
          <w:sz w:val="22"/>
        </w:rPr>
        <w:t> </w:t>
      </w:r>
      <w:r>
        <w:rPr>
          <w:sz w:val="22"/>
        </w:rPr>
        <w:t>England.</w:t>
      </w:r>
    </w:p>
    <w:p>
      <w:pPr>
        <w:spacing w:line="232" w:lineRule="auto" w:before="117"/>
        <w:ind w:left="120" w:right="134" w:firstLine="0"/>
        <w:jc w:val="left"/>
        <w:rPr>
          <w:sz w:val="22"/>
        </w:rPr>
      </w:pPr>
      <w:r>
        <w:rPr>
          <w:sz w:val="22"/>
        </w:rPr>
        <w:t>Quigg, Z., Wallis, S. and Butler, N. (2018). </w:t>
      </w:r>
      <w:r>
        <w:rPr>
          <w:i/>
          <w:sz w:val="23"/>
        </w:rPr>
        <w:t>Routine Enquiry about Adverse Childhood Experiences</w:t>
      </w:r>
      <w:r>
        <w:rPr>
          <w:i/>
          <w:spacing w:val="-34"/>
          <w:sz w:val="23"/>
        </w:rPr>
        <w:t> </w:t>
      </w:r>
      <w:r>
        <w:rPr>
          <w:i/>
          <w:sz w:val="23"/>
        </w:rPr>
        <w:t>Implementation</w:t>
      </w:r>
      <w:r>
        <w:rPr>
          <w:i/>
          <w:spacing w:val="-34"/>
          <w:sz w:val="23"/>
        </w:rPr>
        <w:t> </w:t>
      </w:r>
      <w:r>
        <w:rPr>
          <w:i/>
          <w:sz w:val="23"/>
        </w:rPr>
        <w:t>pack</w:t>
      </w:r>
      <w:r>
        <w:rPr>
          <w:i/>
          <w:spacing w:val="-35"/>
          <w:sz w:val="23"/>
        </w:rPr>
        <w:t> </w:t>
      </w:r>
      <w:r>
        <w:rPr>
          <w:i/>
          <w:sz w:val="23"/>
        </w:rPr>
        <w:t>pilot</w:t>
      </w:r>
      <w:r>
        <w:rPr>
          <w:i/>
          <w:spacing w:val="-35"/>
          <w:sz w:val="23"/>
        </w:rPr>
        <w:t> </w:t>
      </w:r>
      <w:r>
        <w:rPr>
          <w:i/>
          <w:sz w:val="23"/>
        </w:rPr>
        <w:t>evaluation</w:t>
      </w:r>
      <w:r>
        <w:rPr>
          <w:i/>
          <w:spacing w:val="-36"/>
          <w:sz w:val="23"/>
        </w:rPr>
        <w:t> </w:t>
      </w:r>
      <w:r>
        <w:rPr>
          <w:i/>
          <w:sz w:val="23"/>
        </w:rPr>
        <w:t>(final</w:t>
      </w:r>
      <w:r>
        <w:rPr>
          <w:i/>
          <w:spacing w:val="-33"/>
          <w:sz w:val="23"/>
        </w:rPr>
        <w:t> </w:t>
      </w:r>
      <w:r>
        <w:rPr>
          <w:i/>
          <w:sz w:val="23"/>
        </w:rPr>
        <w:t>report).</w:t>
      </w:r>
      <w:r>
        <w:rPr>
          <w:i/>
          <w:spacing w:val="-35"/>
          <w:sz w:val="23"/>
        </w:rPr>
        <w:t> </w:t>
      </w:r>
      <w:r>
        <w:rPr>
          <w:sz w:val="22"/>
        </w:rPr>
        <w:t>Public</w:t>
      </w:r>
      <w:r>
        <w:rPr>
          <w:spacing w:val="-31"/>
          <w:sz w:val="22"/>
        </w:rPr>
        <w:t> </w:t>
      </w:r>
      <w:r>
        <w:rPr>
          <w:sz w:val="22"/>
        </w:rPr>
        <w:t>Health</w:t>
      </w:r>
      <w:r>
        <w:rPr>
          <w:spacing w:val="-31"/>
          <w:sz w:val="22"/>
        </w:rPr>
        <w:t> </w:t>
      </w:r>
      <w:r>
        <w:rPr>
          <w:sz w:val="22"/>
        </w:rPr>
        <w:t>Institute: Liverpool John Moore’s</w:t>
      </w:r>
      <w:r>
        <w:rPr>
          <w:spacing w:val="-3"/>
          <w:sz w:val="22"/>
        </w:rPr>
        <w:t> </w:t>
      </w:r>
      <w:r>
        <w:rPr>
          <w:sz w:val="22"/>
        </w:rPr>
        <w:t>University.</w:t>
      </w:r>
    </w:p>
    <w:p>
      <w:pPr>
        <w:pStyle w:val="BodyText"/>
        <w:spacing w:line="235" w:lineRule="auto" w:before="129"/>
        <w:ind w:left="120" w:right="404"/>
        <w:jc w:val="both"/>
      </w:pPr>
      <w:r>
        <w:rPr/>
        <w:t>Shaw, J., Conover, S., Herman, D., Jarrett, M., Leese, M., McCrone, P., and Stevenson, C. (2017). ‘Critical time Intervention for Severely mentally ill Prisoners (CrISP): a randomised controlled trial’, </w:t>
      </w:r>
      <w:r>
        <w:rPr>
          <w:i/>
          <w:sz w:val="23"/>
        </w:rPr>
        <w:t>Health Services and Delivery Research</w:t>
      </w:r>
      <w:r>
        <w:rPr/>
        <w:t>, 5(8).</w:t>
      </w:r>
    </w:p>
    <w:p>
      <w:pPr>
        <w:pStyle w:val="BodyText"/>
        <w:spacing w:before="109"/>
        <w:ind w:left="120" w:right="192"/>
      </w:pPr>
      <w:r>
        <w:rPr/>
        <w:t>Trotter,</w:t>
      </w:r>
      <w:r>
        <w:rPr>
          <w:spacing w:val="-18"/>
        </w:rPr>
        <w:t> </w:t>
      </w:r>
      <w:r>
        <w:rPr/>
        <w:t>C.</w:t>
      </w:r>
      <w:r>
        <w:rPr>
          <w:spacing w:val="-15"/>
        </w:rPr>
        <w:t> </w:t>
      </w:r>
      <w:r>
        <w:rPr/>
        <w:t>(2021).</w:t>
      </w:r>
      <w:r>
        <w:rPr>
          <w:spacing w:val="-15"/>
        </w:rPr>
        <w:t> </w:t>
      </w:r>
      <w:r>
        <w:rPr>
          <w:i/>
          <w:sz w:val="23"/>
        </w:rPr>
        <w:t>Collaborative</w:t>
      </w:r>
      <w:r>
        <w:rPr>
          <w:i/>
          <w:spacing w:val="-20"/>
          <w:sz w:val="23"/>
        </w:rPr>
        <w:t> </w:t>
      </w:r>
      <w:r>
        <w:rPr>
          <w:i/>
          <w:sz w:val="23"/>
        </w:rPr>
        <w:t>Family</w:t>
      </w:r>
      <w:r>
        <w:rPr>
          <w:i/>
          <w:spacing w:val="-21"/>
          <w:sz w:val="23"/>
        </w:rPr>
        <w:t> </w:t>
      </w:r>
      <w:r>
        <w:rPr>
          <w:i/>
          <w:sz w:val="23"/>
        </w:rPr>
        <w:t>Work</w:t>
      </w:r>
      <w:r>
        <w:rPr>
          <w:i/>
          <w:spacing w:val="-18"/>
          <w:sz w:val="23"/>
        </w:rPr>
        <w:t> </w:t>
      </w:r>
      <w:r>
        <w:rPr>
          <w:i/>
          <w:sz w:val="23"/>
        </w:rPr>
        <w:t>in</w:t>
      </w:r>
      <w:r>
        <w:rPr>
          <w:i/>
          <w:spacing w:val="-19"/>
          <w:sz w:val="23"/>
        </w:rPr>
        <w:t> </w:t>
      </w:r>
      <w:r>
        <w:rPr>
          <w:i/>
          <w:sz w:val="23"/>
        </w:rPr>
        <w:t>Youth</w:t>
      </w:r>
      <w:r>
        <w:rPr>
          <w:i/>
          <w:spacing w:val="-19"/>
          <w:sz w:val="23"/>
        </w:rPr>
        <w:t> </w:t>
      </w:r>
      <w:r>
        <w:rPr>
          <w:i/>
          <w:sz w:val="23"/>
        </w:rPr>
        <w:t>Justice</w:t>
      </w:r>
      <w:r>
        <w:rPr/>
        <w:t>,</w:t>
      </w:r>
      <w:r>
        <w:rPr>
          <w:spacing w:val="-15"/>
        </w:rPr>
        <w:t> </w:t>
      </w:r>
      <w:r>
        <w:rPr/>
        <w:t>HM</w:t>
      </w:r>
      <w:r>
        <w:rPr>
          <w:spacing w:val="-18"/>
        </w:rPr>
        <w:t> </w:t>
      </w:r>
      <w:r>
        <w:rPr/>
        <w:t>Inspectorate</w:t>
      </w:r>
      <w:r>
        <w:rPr>
          <w:spacing w:val="-17"/>
        </w:rPr>
        <w:t> </w:t>
      </w:r>
      <w:r>
        <w:rPr/>
        <w:t>of</w:t>
      </w:r>
      <w:r>
        <w:rPr>
          <w:spacing w:val="-15"/>
        </w:rPr>
        <w:t> </w:t>
      </w:r>
      <w:r>
        <w:rPr/>
        <w:t>Probation Academic Insights 2021/02. Available at: </w:t>
      </w:r>
      <w:hyperlink r:id="rId12">
        <w:r>
          <w:rPr>
            <w:color w:val="0000FF"/>
            <w:u w:val="single" w:color="0000FF"/>
          </w:rPr>
          <w:t>https://www.justiceinspectorates.gov.uk/hmiprobation/wp-</w:t>
        </w:r>
      </w:hyperlink>
      <w:r>
        <w:rPr>
          <w:color w:val="0000FF"/>
        </w:rPr>
        <w:t> </w:t>
      </w:r>
      <w:hyperlink r:id="rId12">
        <w:r>
          <w:rPr>
            <w:color w:val="0000FF"/>
            <w:u w:val="single" w:color="0000FF"/>
          </w:rPr>
          <w:t>content/uploads/sites/5/2021/02/Collaborative-Family-Work-in-Youth-Justice-KM2.pdf</w:t>
        </w:r>
      </w:hyperlink>
    </w:p>
    <w:p>
      <w:pPr>
        <w:pStyle w:val="BodyText"/>
        <w:spacing w:before="107"/>
        <w:ind w:left="119" w:right="296"/>
      </w:pPr>
      <w:r>
        <w:rPr/>
        <w:t>Venner,</w:t>
      </w:r>
      <w:r>
        <w:rPr>
          <w:spacing w:val="-10"/>
        </w:rPr>
        <w:t> </w:t>
      </w:r>
      <w:r>
        <w:rPr/>
        <w:t>F.</w:t>
      </w:r>
      <w:r>
        <w:rPr>
          <w:spacing w:val="-10"/>
        </w:rPr>
        <w:t> </w:t>
      </w:r>
      <w:r>
        <w:rPr/>
        <w:t>(2009).</w:t>
      </w:r>
      <w:r>
        <w:rPr>
          <w:spacing w:val="-10"/>
        </w:rPr>
        <w:t> </w:t>
      </w:r>
      <w:r>
        <w:rPr/>
        <w:t>Risk</w:t>
      </w:r>
      <w:r>
        <w:rPr>
          <w:spacing w:val="-12"/>
        </w:rPr>
        <w:t> </w:t>
      </w:r>
      <w:r>
        <w:rPr/>
        <w:t>Management</w:t>
      </w:r>
      <w:r>
        <w:rPr>
          <w:spacing w:val="-10"/>
        </w:rPr>
        <w:t> </w:t>
      </w:r>
      <w:r>
        <w:rPr/>
        <w:t>in</w:t>
      </w:r>
      <w:r>
        <w:rPr>
          <w:spacing w:val="-10"/>
        </w:rPr>
        <w:t> </w:t>
      </w:r>
      <w:r>
        <w:rPr/>
        <w:t>a</w:t>
      </w:r>
      <w:r>
        <w:rPr>
          <w:spacing w:val="-11"/>
        </w:rPr>
        <w:t> </w:t>
      </w:r>
      <w:r>
        <w:rPr/>
        <w:t>survivor-led</w:t>
      </w:r>
      <w:r>
        <w:rPr>
          <w:spacing w:val="-10"/>
        </w:rPr>
        <w:t> </w:t>
      </w:r>
      <w:r>
        <w:rPr/>
        <w:t>crisis</w:t>
      </w:r>
      <w:r>
        <w:rPr>
          <w:spacing w:val="-10"/>
        </w:rPr>
        <w:t> </w:t>
      </w:r>
      <w:r>
        <w:rPr/>
        <w:t>service.</w:t>
      </w:r>
      <w:r>
        <w:rPr>
          <w:spacing w:val="-10"/>
        </w:rPr>
        <w:t> </w:t>
      </w:r>
      <w:r>
        <w:rPr>
          <w:i/>
          <w:sz w:val="23"/>
        </w:rPr>
        <w:t>Mental</w:t>
      </w:r>
      <w:r>
        <w:rPr>
          <w:i/>
          <w:spacing w:val="-14"/>
          <w:sz w:val="23"/>
        </w:rPr>
        <w:t> </w:t>
      </w:r>
      <w:r>
        <w:rPr>
          <w:i/>
          <w:sz w:val="23"/>
        </w:rPr>
        <w:t>Health</w:t>
      </w:r>
      <w:r>
        <w:rPr>
          <w:i/>
          <w:spacing w:val="-14"/>
          <w:sz w:val="23"/>
        </w:rPr>
        <w:t> </w:t>
      </w:r>
      <w:r>
        <w:rPr>
          <w:i/>
          <w:sz w:val="23"/>
        </w:rPr>
        <w:t>Practice</w:t>
      </w:r>
      <w:r>
        <w:rPr/>
        <w:t>, 13(4), 18-22. Available at: </w:t>
      </w:r>
      <w:hyperlink r:id="rId17">
        <w:r>
          <w:rPr>
            <w:color w:val="0000FF"/>
            <w:u w:val="single" w:color="0000FF"/>
          </w:rPr>
          <w:t>https://www.lslcs.org.uk/wp-content/uploads/2017/10/Mental-</w:t>
        </w:r>
      </w:hyperlink>
      <w:r>
        <w:rPr>
          <w:color w:val="0000FF"/>
        </w:rPr>
        <w:t> </w:t>
      </w:r>
      <w:hyperlink r:id="rId17">
        <w:r>
          <w:rPr>
            <w:color w:val="0000FF"/>
            <w:u w:val="single" w:color="0000FF"/>
          </w:rPr>
          <w:t>Health-Practice-Risk-Management-in-a-Survivor-Led-Crisis-Service-Dec-2009.pdf</w:t>
        </w:r>
      </w:hyperlink>
    </w:p>
    <w:p>
      <w:pPr>
        <w:pStyle w:val="BodyText"/>
        <w:spacing w:line="237" w:lineRule="auto" w:before="120"/>
        <w:ind w:left="120" w:right="149"/>
      </w:pPr>
      <w:r>
        <w:rPr/>
        <w:t>Willison, J.B., McCoy, E.F., Vasquez-Noriega, C. and Travis Reginal, T. with Parker, T. (2018) Using the Sequential Intercept Model to Guide Local Reform an Innovation Fund Case Study, </w:t>
      </w:r>
      <w:r>
        <w:rPr>
          <w:i/>
          <w:sz w:val="23"/>
        </w:rPr>
        <w:t>Urban Institute. </w:t>
      </w:r>
      <w:r>
        <w:rPr/>
        <w:t>Washington D C. Available at: </w:t>
      </w:r>
      <w:hyperlink r:id="rId18">
        <w:r>
          <w:rPr>
            <w:color w:val="0000FF"/>
            <w:u w:val="single" w:color="0000FF"/>
          </w:rPr>
          <w:t>https://www.urban.org/research/publication/using-sequential-intercept-model-guide-local-</w:t>
        </w:r>
      </w:hyperlink>
      <w:r>
        <w:rPr>
          <w:color w:val="0000FF"/>
        </w:rPr>
        <w:t> </w:t>
      </w:r>
      <w:hyperlink r:id="rId18">
        <w:r>
          <w:rPr>
            <w:color w:val="0000FF"/>
            <w:u w:val="single" w:color="0000FF"/>
          </w:rPr>
          <w:t>reform</w:t>
        </w:r>
      </w:hyperlink>
    </w:p>
    <w:p>
      <w:pPr>
        <w:pStyle w:val="BodyText"/>
        <w:spacing w:line="232" w:lineRule="auto" w:before="125"/>
        <w:ind w:left="120" w:right="242"/>
      </w:pPr>
      <w:r>
        <w:rPr/>
        <w:t>Yuan, Y. and Capriotti, M.R. (2019). ‘The impact of mental health court: A Sacramento case study’, </w:t>
      </w:r>
      <w:r>
        <w:rPr>
          <w:i/>
          <w:sz w:val="23"/>
        </w:rPr>
        <w:t>Behavioral Sciences &amp; the Law</w:t>
      </w:r>
      <w:r>
        <w:rPr/>
        <w:t>, 37(4), pp. 452-467.</w:t>
      </w:r>
    </w:p>
    <w:p>
      <w:pPr>
        <w:spacing w:after="0" w:line="232" w:lineRule="auto"/>
        <w:sectPr>
          <w:pgSz w:w="11910" w:h="16840"/>
          <w:pgMar w:header="0" w:footer="775" w:top="1340" w:bottom="960" w:left="132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3"/>
        </w:rPr>
      </w:pPr>
    </w:p>
    <w:p>
      <w:pPr>
        <w:pStyle w:val="BodyText"/>
        <w:ind w:left="120"/>
        <w:rPr>
          <w:sz w:val="20"/>
        </w:rPr>
      </w:pPr>
      <w:r>
        <w:rPr>
          <w:sz w:val="20"/>
        </w:rPr>
        <w:pict>
          <v:shape style="width:450.85pt;height:311.05pt;mso-position-horizontal-relative:char;mso-position-vertical-relative:line" type="#_x0000_t202" filled="true" fillcolor="#d5d6d7" stroked="false">
            <w10:anchorlock/>
            <v:textbox inset="0,0,0,0">
              <w:txbxContent>
                <w:p>
                  <w:pPr>
                    <w:spacing w:before="120"/>
                    <w:ind w:left="108" w:right="0" w:firstLine="0"/>
                    <w:jc w:val="left"/>
                    <w:rPr>
                      <w:b/>
                      <w:sz w:val="22"/>
                    </w:rPr>
                  </w:pPr>
                  <w:r>
                    <w:rPr>
                      <w:b/>
                      <w:sz w:val="22"/>
                    </w:rPr>
                    <w:t>© Crown copyright 2024</w:t>
                  </w:r>
                </w:p>
                <w:p>
                  <w:pPr>
                    <w:pStyle w:val="BodyText"/>
                    <w:spacing w:before="121"/>
                    <w:ind w:left="108" w:right="610"/>
                  </w:pPr>
                  <w:r>
                    <w:rPr/>
                    <w:t>You may re-use this information (excluding logos) free of charge in any format or medium, under the terms of the Open Government Licence. To view this licence, visit </w:t>
                  </w:r>
                  <w:hyperlink r:id="rId19">
                    <w:r>
                      <w:rPr>
                        <w:color w:val="0000FF"/>
                        <w:u w:val="single" w:color="0000FF"/>
                      </w:rPr>
                      <w:t>www.nationalarchives.gov.uk/doc/open-government-licence</w:t>
                    </w:r>
                    <w:r>
                      <w:rPr>
                        <w:color w:val="0000FF"/>
                      </w:rPr>
                      <w:t> </w:t>
                    </w:r>
                  </w:hyperlink>
                  <w:r>
                    <w:rPr/>
                    <w:t>or email </w:t>
                  </w:r>
                  <w:hyperlink r:id="rId20">
                    <w:r>
                      <w:rPr>
                        <w:color w:val="0000FF"/>
                        <w:u w:val="single" w:color="0000FF"/>
                      </w:rPr>
                      <w:t>psi@nationalarchives.gsi.gov.uk</w:t>
                    </w:r>
                  </w:hyperlink>
                  <w:r>
                    <w:rPr/>
                    <w:t>.</w:t>
                  </w:r>
                </w:p>
                <w:p>
                  <w:pPr>
                    <w:pStyle w:val="BodyText"/>
                    <w:spacing w:before="119"/>
                    <w:ind w:left="108" w:right="411"/>
                  </w:pPr>
                  <w:r>
                    <w:rPr/>
                    <w:t>Where we have identified any third-party copyright information, you will need to obtain permission from the copyright holders concerned.</w:t>
                  </w:r>
                </w:p>
                <w:p>
                  <w:pPr>
                    <w:pStyle w:val="BodyText"/>
                    <w:spacing w:before="119"/>
                    <w:ind w:left="108" w:right="4341"/>
                  </w:pPr>
                  <w:r>
                    <w:rPr/>
                    <w:t>This publication is available for download at: </w:t>
                  </w:r>
                  <w:hyperlink r:id="rId21">
                    <w:r>
                      <w:rPr>
                        <w:color w:val="0000FF"/>
                        <w:u w:val="single" w:color="0000FF"/>
                      </w:rPr>
                      <w:t>www.justiceinspectorates.gov.uk/hmiprobation</w:t>
                    </w:r>
                  </w:hyperlink>
                </w:p>
                <w:p>
                  <w:pPr>
                    <w:pStyle w:val="BodyText"/>
                    <w:rPr>
                      <w:sz w:val="20"/>
                    </w:rPr>
                  </w:pPr>
                </w:p>
                <w:p>
                  <w:pPr>
                    <w:spacing w:before="0"/>
                    <w:ind w:left="108" w:right="0" w:firstLine="0"/>
                    <w:jc w:val="left"/>
                    <w:rPr>
                      <w:b/>
                      <w:sz w:val="22"/>
                    </w:rPr>
                  </w:pPr>
                  <w:r>
                    <w:rPr>
                      <w:b/>
                      <w:sz w:val="22"/>
                    </w:rPr>
                    <w:t>Published by:</w:t>
                  </w:r>
                </w:p>
                <w:p>
                  <w:pPr>
                    <w:pStyle w:val="BodyText"/>
                    <w:spacing w:before="119"/>
                    <w:ind w:left="108" w:right="6049"/>
                  </w:pPr>
                  <w:r>
                    <w:rPr/>
                    <w:t>HM Inspectorate of Probation 1st Floor Civil Justice Centre 1 Bridge Street</w:t>
                  </w:r>
                  <w:r>
                    <w:rPr>
                      <w:spacing w:val="-3"/>
                    </w:rPr>
                    <w:t> </w:t>
                  </w:r>
                  <w:r>
                    <w:rPr/>
                    <w:t>West</w:t>
                  </w:r>
                </w:p>
                <w:p>
                  <w:pPr>
                    <w:pStyle w:val="BodyText"/>
                    <w:spacing w:before="120"/>
                    <w:ind w:left="108" w:right="7774"/>
                  </w:pPr>
                  <w:r>
                    <w:rPr/>
                    <w:t>Manchester M3 3FX</w:t>
                  </w:r>
                </w:p>
                <w:p>
                  <w:pPr>
                    <w:pStyle w:val="BodyText"/>
                    <w:spacing w:before="122"/>
                    <w:ind w:left="108" w:right="1957"/>
                  </w:pPr>
                  <w:r>
                    <w:rPr/>
                    <w:t>The HM Inspectorate of Probation Research Team can be contacted via </w:t>
                  </w:r>
                  <w:hyperlink r:id="rId22">
                    <w:r>
                      <w:rPr>
                        <w:color w:val="0000FF"/>
                        <w:u w:val="single" w:color="0000FF"/>
                      </w:rPr>
                      <w:t>HMIProbationResearch@hmiprobation.gov.uk</w:t>
                    </w:r>
                  </w:hyperlink>
                </w:p>
                <w:p>
                  <w:pPr>
                    <w:pStyle w:val="BodyText"/>
                    <w:spacing w:before="10"/>
                    <w:rPr>
                      <w:sz w:val="19"/>
                    </w:rPr>
                  </w:pPr>
                </w:p>
                <w:p>
                  <w:pPr>
                    <w:pStyle w:val="BodyText"/>
                    <w:ind w:left="108"/>
                  </w:pPr>
                  <w:r>
                    <w:rPr/>
                    <w:t>ISBN: 978-1-916621-19-0</w:t>
                  </w:r>
                </w:p>
              </w:txbxContent>
            </v:textbox>
            <v:fill type="solid"/>
          </v:shape>
        </w:pict>
      </w:r>
      <w:r>
        <w:rPr>
          <w:sz w:val="20"/>
        </w:rPr>
      </w:r>
    </w:p>
    <w:sectPr>
      <w:pgSz w:w="11910" w:h="16840"/>
      <w:pgMar w:header="0" w:footer="775" w:top="1580" w:bottom="96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4.320007pt;margin-top:792.19458pt;width:12.05pt;height:15.35pt;mso-position-horizontal-relative:page;mso-position-vertical-relative:page;z-index:-252329984" type="#_x0000_t202" filled="false" stroked="false">
          <v:textbox inset="0,0,0,0">
            <w:txbxContent>
              <w:p>
                <w:pPr>
                  <w:pStyle w:val="BodyText"/>
                  <w:spacing w:before="21"/>
                  <w:ind w:left="60"/>
                </w:pPr>
                <w:r>
                  <w:rPr/>
                  <w:fldChar w:fldCharType="begin"/>
                </w:r>
                <w:r>
                  <w:rPr>
                    <w:w w:val="100"/>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320007pt;margin-top:792.19458pt;width:18.05pt;height:15.35pt;mso-position-horizontal-relative:page;mso-position-vertical-relative:page;z-index:-252328960" type="#_x0000_t202" filled="false" stroked="false">
          <v:textbox inset="0,0,0,0">
            <w:txbxContent>
              <w:p>
                <w:pPr>
                  <w:pStyle w:val="BodyText"/>
                  <w:spacing w:before="21"/>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00" w:hanging="361"/>
        <w:jc w:val="left"/>
      </w:pPr>
      <w:rPr>
        <w:rFonts w:hint="default" w:ascii="Tahoma" w:hAnsi="Tahoma" w:eastAsia="Tahoma" w:cs="Tahoma"/>
        <w:b/>
        <w:bCs/>
        <w:color w:val="00776F"/>
        <w:w w:val="99"/>
        <w:sz w:val="32"/>
        <w:szCs w:val="32"/>
        <w:u w:val="single" w:color="A6A9AA"/>
        <w:lang w:val="en-gb" w:eastAsia="en-gb" w:bidi="en-gb"/>
      </w:rPr>
    </w:lvl>
    <w:lvl w:ilvl="1">
      <w:start w:val="1"/>
      <w:numFmt w:val="decimal"/>
      <w:lvlText w:val="%1.%2"/>
      <w:lvlJc w:val="left"/>
      <w:pPr>
        <w:ind w:left="555" w:hanging="416"/>
        <w:jc w:val="left"/>
      </w:pPr>
      <w:rPr>
        <w:rFonts w:hint="default" w:ascii="Tahoma" w:hAnsi="Tahoma" w:eastAsia="Tahoma" w:cs="Tahoma"/>
        <w:b/>
        <w:bCs/>
        <w:color w:val="00776F"/>
        <w:spacing w:val="-2"/>
        <w:w w:val="100"/>
        <w:sz w:val="22"/>
        <w:szCs w:val="22"/>
        <w:highlight w:val="lightGray"/>
        <w:lang w:val="en-gb" w:eastAsia="en-gb" w:bidi="en-gb"/>
      </w:rPr>
    </w:lvl>
    <w:lvl w:ilvl="2">
      <w:start w:val="0"/>
      <w:numFmt w:val="bullet"/>
      <w:lvlText w:val="•"/>
      <w:lvlJc w:val="left"/>
      <w:pPr>
        <w:ind w:left="1531" w:hanging="416"/>
      </w:pPr>
      <w:rPr>
        <w:rFonts w:hint="default"/>
        <w:lang w:val="en-gb" w:eastAsia="en-gb" w:bidi="en-gb"/>
      </w:rPr>
    </w:lvl>
    <w:lvl w:ilvl="3">
      <w:start w:val="0"/>
      <w:numFmt w:val="bullet"/>
      <w:lvlText w:val="•"/>
      <w:lvlJc w:val="left"/>
      <w:pPr>
        <w:ind w:left="2503" w:hanging="416"/>
      </w:pPr>
      <w:rPr>
        <w:rFonts w:hint="default"/>
        <w:lang w:val="en-gb" w:eastAsia="en-gb" w:bidi="en-gb"/>
      </w:rPr>
    </w:lvl>
    <w:lvl w:ilvl="4">
      <w:start w:val="0"/>
      <w:numFmt w:val="bullet"/>
      <w:lvlText w:val="•"/>
      <w:lvlJc w:val="left"/>
      <w:pPr>
        <w:ind w:left="3475" w:hanging="416"/>
      </w:pPr>
      <w:rPr>
        <w:rFonts w:hint="default"/>
        <w:lang w:val="en-gb" w:eastAsia="en-gb" w:bidi="en-gb"/>
      </w:rPr>
    </w:lvl>
    <w:lvl w:ilvl="5">
      <w:start w:val="0"/>
      <w:numFmt w:val="bullet"/>
      <w:lvlText w:val="•"/>
      <w:lvlJc w:val="left"/>
      <w:pPr>
        <w:ind w:left="4447" w:hanging="416"/>
      </w:pPr>
      <w:rPr>
        <w:rFonts w:hint="default"/>
        <w:lang w:val="en-gb" w:eastAsia="en-gb" w:bidi="en-gb"/>
      </w:rPr>
    </w:lvl>
    <w:lvl w:ilvl="6">
      <w:start w:val="0"/>
      <w:numFmt w:val="bullet"/>
      <w:lvlText w:val="•"/>
      <w:lvlJc w:val="left"/>
      <w:pPr>
        <w:ind w:left="5419" w:hanging="416"/>
      </w:pPr>
      <w:rPr>
        <w:rFonts w:hint="default"/>
        <w:lang w:val="en-gb" w:eastAsia="en-gb" w:bidi="en-gb"/>
      </w:rPr>
    </w:lvl>
    <w:lvl w:ilvl="7">
      <w:start w:val="0"/>
      <w:numFmt w:val="bullet"/>
      <w:lvlText w:val="•"/>
      <w:lvlJc w:val="left"/>
      <w:pPr>
        <w:ind w:left="6390" w:hanging="416"/>
      </w:pPr>
      <w:rPr>
        <w:rFonts w:hint="default"/>
        <w:lang w:val="en-gb" w:eastAsia="en-gb" w:bidi="en-gb"/>
      </w:rPr>
    </w:lvl>
    <w:lvl w:ilvl="8">
      <w:start w:val="0"/>
      <w:numFmt w:val="bullet"/>
      <w:lvlText w:val="•"/>
      <w:lvlJc w:val="left"/>
      <w:pPr>
        <w:ind w:left="7362" w:hanging="416"/>
      </w:pPr>
      <w:rPr>
        <w:rFonts w:hint="default"/>
        <w:lang w:val="en-gb" w:eastAsia="en-gb" w:bidi="en-gb"/>
      </w:rPr>
    </w:lvl>
  </w:abstractNum>
  <w:abstractNum w:abstractNumId="0">
    <w:multiLevelType w:val="hybridMultilevel"/>
    <w:lvl w:ilvl="0">
      <w:start w:val="1"/>
      <w:numFmt w:val="decimal"/>
      <w:lvlText w:val="%1."/>
      <w:lvlJc w:val="left"/>
      <w:pPr>
        <w:ind w:left="423" w:hanging="284"/>
        <w:jc w:val="left"/>
      </w:pPr>
      <w:rPr>
        <w:rFonts w:hint="default" w:ascii="Tahoma" w:hAnsi="Tahoma" w:eastAsia="Tahoma" w:cs="Tahoma"/>
        <w:spacing w:val="-1"/>
        <w:w w:val="100"/>
        <w:sz w:val="22"/>
        <w:szCs w:val="22"/>
        <w:lang w:val="en-gb" w:eastAsia="en-gb" w:bidi="en-gb"/>
      </w:rPr>
    </w:lvl>
    <w:lvl w:ilvl="1">
      <w:start w:val="1"/>
      <w:numFmt w:val="decimal"/>
      <w:lvlText w:val="%1.%2"/>
      <w:lvlJc w:val="left"/>
      <w:pPr>
        <w:ind w:left="943" w:hanging="377"/>
        <w:jc w:val="left"/>
      </w:pPr>
      <w:rPr>
        <w:rFonts w:hint="default" w:ascii="Tahoma" w:hAnsi="Tahoma" w:eastAsia="Tahoma" w:cs="Tahoma"/>
        <w:spacing w:val="-1"/>
        <w:w w:val="100"/>
        <w:sz w:val="22"/>
        <w:szCs w:val="22"/>
        <w:lang w:val="en-gb" w:eastAsia="en-gb" w:bidi="en-gb"/>
      </w:rPr>
    </w:lvl>
    <w:lvl w:ilvl="2">
      <w:start w:val="0"/>
      <w:numFmt w:val="bullet"/>
      <w:lvlText w:val="•"/>
      <w:lvlJc w:val="left"/>
      <w:pPr>
        <w:ind w:left="1869" w:hanging="377"/>
      </w:pPr>
      <w:rPr>
        <w:rFonts w:hint="default"/>
        <w:lang w:val="en-gb" w:eastAsia="en-gb" w:bidi="en-gb"/>
      </w:rPr>
    </w:lvl>
    <w:lvl w:ilvl="3">
      <w:start w:val="0"/>
      <w:numFmt w:val="bullet"/>
      <w:lvlText w:val="•"/>
      <w:lvlJc w:val="left"/>
      <w:pPr>
        <w:ind w:left="2799" w:hanging="377"/>
      </w:pPr>
      <w:rPr>
        <w:rFonts w:hint="default"/>
        <w:lang w:val="en-gb" w:eastAsia="en-gb" w:bidi="en-gb"/>
      </w:rPr>
    </w:lvl>
    <w:lvl w:ilvl="4">
      <w:start w:val="0"/>
      <w:numFmt w:val="bullet"/>
      <w:lvlText w:val="•"/>
      <w:lvlJc w:val="left"/>
      <w:pPr>
        <w:ind w:left="3728" w:hanging="377"/>
      </w:pPr>
      <w:rPr>
        <w:rFonts w:hint="default"/>
        <w:lang w:val="en-gb" w:eastAsia="en-gb" w:bidi="en-gb"/>
      </w:rPr>
    </w:lvl>
    <w:lvl w:ilvl="5">
      <w:start w:val="0"/>
      <w:numFmt w:val="bullet"/>
      <w:lvlText w:val="•"/>
      <w:lvlJc w:val="left"/>
      <w:pPr>
        <w:ind w:left="4658" w:hanging="377"/>
      </w:pPr>
      <w:rPr>
        <w:rFonts w:hint="default"/>
        <w:lang w:val="en-gb" w:eastAsia="en-gb" w:bidi="en-gb"/>
      </w:rPr>
    </w:lvl>
    <w:lvl w:ilvl="6">
      <w:start w:val="0"/>
      <w:numFmt w:val="bullet"/>
      <w:lvlText w:val="•"/>
      <w:lvlJc w:val="left"/>
      <w:pPr>
        <w:ind w:left="5588" w:hanging="377"/>
      </w:pPr>
      <w:rPr>
        <w:rFonts w:hint="default"/>
        <w:lang w:val="en-gb" w:eastAsia="en-gb" w:bidi="en-gb"/>
      </w:rPr>
    </w:lvl>
    <w:lvl w:ilvl="7">
      <w:start w:val="0"/>
      <w:numFmt w:val="bullet"/>
      <w:lvlText w:val="•"/>
      <w:lvlJc w:val="left"/>
      <w:pPr>
        <w:ind w:left="6517" w:hanging="377"/>
      </w:pPr>
      <w:rPr>
        <w:rFonts w:hint="default"/>
        <w:lang w:val="en-gb" w:eastAsia="en-gb" w:bidi="en-gb"/>
      </w:rPr>
    </w:lvl>
    <w:lvl w:ilvl="8">
      <w:start w:val="0"/>
      <w:numFmt w:val="bullet"/>
      <w:lvlText w:val="•"/>
      <w:lvlJc w:val="left"/>
      <w:pPr>
        <w:ind w:left="7447" w:hanging="377"/>
      </w:pPr>
      <w:rPr>
        <w:rFonts w:hint="default"/>
        <w:lang w:val="en-gb" w:eastAsia="en-gb" w:bidi="en-gb"/>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gb" w:eastAsia="en-gb" w:bidi="en-gb"/>
    </w:rPr>
  </w:style>
  <w:style w:styleId="TOC1" w:type="paragraph">
    <w:name w:val="TOC 1"/>
    <w:basedOn w:val="Normal"/>
    <w:uiPriority w:val="1"/>
    <w:qFormat/>
    <w:pPr>
      <w:spacing w:before="99"/>
      <w:ind w:left="423" w:hanging="285"/>
    </w:pPr>
    <w:rPr>
      <w:rFonts w:ascii="Tahoma" w:hAnsi="Tahoma" w:eastAsia="Tahoma" w:cs="Tahoma"/>
      <w:sz w:val="22"/>
      <w:szCs w:val="22"/>
      <w:lang w:val="en-gb" w:eastAsia="en-gb" w:bidi="en-gb"/>
    </w:rPr>
  </w:style>
  <w:style w:styleId="TOC2" w:type="paragraph">
    <w:name w:val="TOC 2"/>
    <w:basedOn w:val="Normal"/>
    <w:uiPriority w:val="1"/>
    <w:qFormat/>
    <w:pPr>
      <w:spacing w:before="101"/>
      <w:ind w:left="140"/>
    </w:pPr>
    <w:rPr>
      <w:rFonts w:ascii="Tahoma" w:hAnsi="Tahoma" w:eastAsia="Tahoma" w:cs="Tahoma"/>
      <w:sz w:val="22"/>
      <w:szCs w:val="22"/>
      <w:lang w:val="en-gb" w:eastAsia="en-gb" w:bidi="en-gb"/>
    </w:rPr>
  </w:style>
  <w:style w:styleId="TOC3" w:type="paragraph">
    <w:name w:val="TOC 3"/>
    <w:basedOn w:val="Normal"/>
    <w:uiPriority w:val="1"/>
    <w:qFormat/>
    <w:pPr>
      <w:spacing w:before="99"/>
      <w:ind w:left="943" w:hanging="378"/>
    </w:pPr>
    <w:rPr>
      <w:rFonts w:ascii="Tahoma" w:hAnsi="Tahoma" w:eastAsia="Tahoma" w:cs="Tahoma"/>
      <w:sz w:val="22"/>
      <w:szCs w:val="22"/>
      <w:lang w:val="en-gb" w:eastAsia="en-gb" w:bidi="en-gb"/>
    </w:rPr>
  </w:style>
  <w:style w:styleId="BodyText" w:type="paragraph">
    <w:name w:val="Body Text"/>
    <w:basedOn w:val="Normal"/>
    <w:uiPriority w:val="1"/>
    <w:qFormat/>
    <w:pPr/>
    <w:rPr>
      <w:rFonts w:ascii="Tahoma" w:hAnsi="Tahoma" w:eastAsia="Tahoma" w:cs="Tahoma"/>
      <w:sz w:val="22"/>
      <w:szCs w:val="22"/>
      <w:lang w:val="en-gb" w:eastAsia="en-gb" w:bidi="en-gb"/>
    </w:rPr>
  </w:style>
  <w:style w:styleId="Heading1" w:type="paragraph">
    <w:name w:val="Heading 1"/>
    <w:basedOn w:val="Normal"/>
    <w:uiPriority w:val="1"/>
    <w:qFormat/>
    <w:pPr>
      <w:spacing w:before="80"/>
      <w:ind w:left="140"/>
      <w:outlineLvl w:val="1"/>
    </w:pPr>
    <w:rPr>
      <w:rFonts w:ascii="Tahoma" w:hAnsi="Tahoma" w:eastAsia="Tahoma" w:cs="Tahoma"/>
      <w:b/>
      <w:bCs/>
      <w:sz w:val="32"/>
      <w:szCs w:val="32"/>
      <w:u w:val="single" w:color="000000"/>
      <w:lang w:val="en-gb" w:eastAsia="en-gb" w:bidi="en-gb"/>
    </w:rPr>
  </w:style>
  <w:style w:styleId="Heading2" w:type="paragraph">
    <w:name w:val="Heading 2"/>
    <w:basedOn w:val="Normal"/>
    <w:uiPriority w:val="1"/>
    <w:qFormat/>
    <w:pPr>
      <w:ind w:left="119"/>
      <w:outlineLvl w:val="2"/>
    </w:pPr>
    <w:rPr>
      <w:rFonts w:ascii="Tahoma" w:hAnsi="Tahoma" w:eastAsia="Tahoma" w:cs="Tahoma"/>
      <w:b/>
      <w:bCs/>
      <w:sz w:val="22"/>
      <w:szCs w:val="22"/>
      <w:lang w:val="en-gb" w:eastAsia="en-gb" w:bidi="en-gb"/>
    </w:rPr>
  </w:style>
  <w:style w:styleId="ListParagraph" w:type="paragraph">
    <w:name w:val="List Paragraph"/>
    <w:basedOn w:val="Normal"/>
    <w:uiPriority w:val="1"/>
    <w:qFormat/>
    <w:pPr>
      <w:spacing w:before="80"/>
      <w:ind w:left="555" w:hanging="416"/>
    </w:pPr>
    <w:rPr>
      <w:rFonts w:ascii="Tahoma" w:hAnsi="Tahoma" w:eastAsia="Tahoma" w:cs="Tahoma"/>
      <w:lang w:val="en-gb" w:eastAsia="en-gb" w:bidi="en-gb"/>
    </w:rPr>
  </w:style>
  <w:style w:styleId="TableParagraph" w:type="paragraph">
    <w:name w:val="Table Paragraph"/>
    <w:basedOn w:val="Normal"/>
    <w:uiPriority w:val="1"/>
    <w:qFormat/>
    <w:pPr>
      <w:spacing w:before="156"/>
    </w:pPr>
    <w:rPr>
      <w:rFonts w:ascii="Tahoma" w:hAnsi="Tahoma" w:eastAsia="Tahoma" w:cs="Tahoma"/>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hyperlink" Target="https://www.justiceinspectorates.gov.uk/hmiprobation/wp-content/uploads/sites/5/2021/11/Academic-Insights-Gray-et-al.pdf" TargetMode="External"/><Relationship Id="rId9" Type="http://schemas.openxmlformats.org/officeDocument/2006/relationships/hyperlink" Target="https://www.justiceinspectorates.gov.uk/hmiprobation/wp-content/uploads/sites/5/2023/10/Academic-Insights-Evidence-based-core-messages-for-youth-justice-by-Professor-Ursula-Kilkelly-Final.pdf" TargetMode="Externa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yperlink" Target="https://www.justiceinspectorates.gov.uk/hmiprobation/wp-content/uploads/sites/5/2021/02/Collaborative-Family-Work-in-Youth-Justice-KM2.pdf" TargetMode="External"/><Relationship Id="rId13" Type="http://schemas.openxmlformats.org/officeDocument/2006/relationships/hyperlink" Target="http://www.mentalhealthchallenge.org.uk/library-files/MHC151-Bradley_report_five_years_on.pdf" TargetMode="External"/><Relationship Id="rId14" Type="http://schemas.openxmlformats.org/officeDocument/2006/relationships/hyperlink" Target="https://www.gov.uk/government/publications/female-offender-strategy" TargetMode="External"/><Relationship Id="rId15" Type="http://schemas.openxmlformats.org/officeDocument/2006/relationships/hyperlink" Target="https://www.safeguardingni.org/resources/applying-sequential-intercept-model-ni-context-full-reportpdf" TargetMode="External"/><Relationship Id="rId16" Type="http://schemas.openxmlformats.org/officeDocument/2006/relationships/hyperlink" Target="https://www.prainc.com/wp-content/uploads/2017/08/SIM-Brochure-Redesign0824.pdf" TargetMode="External"/><Relationship Id="rId17" Type="http://schemas.openxmlformats.org/officeDocument/2006/relationships/hyperlink" Target="https://www.lslcs.org.uk/wp-content/uploads/2017/10/Mental-Health-Practice-Risk-Management-in-a-Survivor-Led-Crisis-Service-Dec-2009.pdf" TargetMode="External"/><Relationship Id="rId18" Type="http://schemas.openxmlformats.org/officeDocument/2006/relationships/hyperlink" Target="https://www.urban.org/research/publication/using-sequential-intercept-model-guide-local-reform" TargetMode="External"/><Relationship Id="rId19" Type="http://schemas.openxmlformats.org/officeDocument/2006/relationships/hyperlink" Target="http://www.nationalarchives.gov.uk/doc/open-government-licence" TargetMode="External"/><Relationship Id="rId20" Type="http://schemas.openxmlformats.org/officeDocument/2006/relationships/hyperlink" Target="mailto:psi@nationalarchives.gsi.gov.uk" TargetMode="External"/><Relationship Id="rId21" Type="http://schemas.openxmlformats.org/officeDocument/2006/relationships/hyperlink" Target="http://www.justiceinspectorates.gov.uk/hmiprobation" TargetMode="External"/><Relationship Id="rId22" Type="http://schemas.openxmlformats.org/officeDocument/2006/relationships/hyperlink" Target="mailto:HMIProbationResearch@hmiprobation.gov.uk" TargetMode="Externa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 Inspectorate of Probation</dc:creator>
  <cp:keywords>Academic Insights 2024/01 The ‘Sequential Intercept Model’ – a trauma-informed diversionary framework Dr Suzanne Mooney, Dr Stephen Coulter, Professor Lisa Bunting and Dr Lorna Montgomery HM Inspectorate of Probation ISBN: 978-1-916621-19-0</cp:keywords>
  <dc:title>Academic Insights - The ‘Sequential Intercept Model’ – a trauma-informed diversionary framework </dc:title>
  <dcterms:created xsi:type="dcterms:W3CDTF">2024-02-14T12:47:29Z</dcterms:created>
  <dcterms:modified xsi:type="dcterms:W3CDTF">2024-02-14T12:47:29Z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Acrobat PDFMaker 19 for Word</vt:lpwstr>
  </property>
  <property fmtid="{D5CDD505-2E9C-101B-9397-08002B2CF9AE}" pid="4" name="LastSaved">
    <vt:filetime>2024-02-14T00:00:00Z</vt:filetime>
  </property>
</Properties>
</file>